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61BB0E" w14:textId="77777777" w:rsidR="007D3005" w:rsidRDefault="007D3005" w:rsidP="007D3005">
      <w:pPr>
        <w:pStyle w:val="zzCover"/>
      </w:pPr>
      <w:bookmarkStart w:id="0" w:name="h.p4tiko7d302q" w:colFirst="0" w:colLast="0"/>
      <w:bookmarkEnd w:id="0"/>
      <w:r>
        <w:rPr>
          <w:sz w:val="36"/>
        </w:rPr>
        <w:t>Open Geospatial Consortium Inc.</w:t>
      </w:r>
    </w:p>
    <w:p w14:paraId="0451C12F" w14:textId="0D37CF78" w:rsidR="007D3005" w:rsidRDefault="007D3005" w:rsidP="007D3005">
      <w:pPr>
        <w:pStyle w:val="zzCover"/>
        <w:spacing w:before="120" w:after="240"/>
        <w:rPr>
          <w:sz w:val="22"/>
        </w:rPr>
      </w:pPr>
      <w:r>
        <w:rPr>
          <w:sz w:val="22"/>
        </w:rPr>
        <w:t>Date: 2015-0</w:t>
      </w:r>
      <w:r w:rsidR="003140FB">
        <w:rPr>
          <w:sz w:val="22"/>
        </w:rPr>
        <w:t>8</w:t>
      </w:r>
      <w:r>
        <w:rPr>
          <w:sz w:val="22"/>
        </w:rPr>
        <w:t>-</w:t>
      </w:r>
      <w:r w:rsidR="003140FB">
        <w:rPr>
          <w:sz w:val="22"/>
        </w:rPr>
        <w:t>05</w:t>
      </w:r>
    </w:p>
    <w:p w14:paraId="4F6CEB49" w14:textId="54DBD84C" w:rsidR="007D3005" w:rsidRDefault="007D3005" w:rsidP="007D3005">
      <w:pPr>
        <w:pStyle w:val="zzCover"/>
        <w:spacing w:before="120" w:after="240"/>
        <w:rPr>
          <w:sz w:val="22"/>
        </w:rPr>
      </w:pPr>
      <w:bookmarkStart w:id="1" w:name="Cover_RemoveText2"/>
      <w:r>
        <w:rPr>
          <w:sz w:val="22"/>
        </w:rPr>
        <w:t>Reference number of this OGC</w:t>
      </w:r>
      <w:r w:rsidR="0002322A" w:rsidRPr="0002322A">
        <w:rPr>
          <w:rFonts w:ascii="Times New Roman" w:hAnsi="Times New Roman"/>
          <w:sz w:val="24"/>
          <w:vertAlign w:val="superscript"/>
          <w:lang w:val="en-US"/>
        </w:rPr>
        <w:t>®</w:t>
      </w:r>
      <w:r>
        <w:rPr>
          <w:sz w:val="22"/>
        </w:rPr>
        <w:t xml:space="preserve"> document:</w:t>
      </w:r>
      <w:bookmarkEnd w:id="1"/>
      <w:r>
        <w:rPr>
          <w:sz w:val="22"/>
        </w:rPr>
        <w:t xml:space="preserve"> OGC 15</w:t>
      </w:r>
      <w:r w:rsidR="00031040">
        <w:rPr>
          <w:sz w:val="22"/>
        </w:rPr>
        <w:t>-</w:t>
      </w:r>
      <w:r>
        <w:rPr>
          <w:sz w:val="22"/>
        </w:rPr>
        <w:t>021r1</w:t>
      </w:r>
    </w:p>
    <w:p w14:paraId="208B26BD" w14:textId="055D497D" w:rsidR="007D3005" w:rsidRDefault="007D3005" w:rsidP="007D3005">
      <w:pPr>
        <w:pStyle w:val="zzCover"/>
        <w:spacing w:before="120" w:after="240"/>
        <w:rPr>
          <w:sz w:val="22"/>
        </w:rPr>
      </w:pPr>
      <w:r>
        <w:rPr>
          <w:sz w:val="22"/>
        </w:rPr>
        <w:t>Version: 1.0</w:t>
      </w:r>
    </w:p>
    <w:p w14:paraId="1559E4A0" w14:textId="3627CFC1" w:rsidR="007D3005" w:rsidRDefault="007D3005" w:rsidP="007D3005">
      <w:pPr>
        <w:pStyle w:val="zzCover"/>
        <w:spacing w:before="120" w:after="240"/>
        <w:rPr>
          <w:sz w:val="22"/>
        </w:rPr>
      </w:pPr>
      <w:r>
        <w:rPr>
          <w:sz w:val="22"/>
        </w:rPr>
        <w:t>Category: OGC</w:t>
      </w:r>
      <w:r w:rsidR="0002322A" w:rsidRPr="0002322A">
        <w:rPr>
          <w:rFonts w:ascii="Times New Roman" w:hAnsi="Times New Roman"/>
          <w:sz w:val="24"/>
          <w:vertAlign w:val="superscript"/>
          <w:lang w:val="en-US"/>
        </w:rPr>
        <w:t>®</w:t>
      </w:r>
      <w:bookmarkStart w:id="2" w:name="_GoBack"/>
      <w:bookmarkEnd w:id="2"/>
      <w:r>
        <w:rPr>
          <w:sz w:val="22"/>
        </w:rPr>
        <w:t xml:space="preserve"> Policies and Procedures</w:t>
      </w:r>
    </w:p>
    <w:p w14:paraId="1D425273" w14:textId="3A2337F2" w:rsidR="007D3005" w:rsidRDefault="007D3005" w:rsidP="007D3005">
      <w:pPr>
        <w:pStyle w:val="Title"/>
        <w:ind w:left="720" w:hanging="720"/>
        <w:contextualSpacing w:val="0"/>
        <w:jc w:val="right"/>
        <w:rPr>
          <w:rFonts w:ascii="Times" w:hAnsi="Times" w:cs="Times"/>
          <w:sz w:val="22"/>
        </w:rPr>
      </w:pPr>
      <w:r w:rsidRPr="007D3005">
        <w:rPr>
          <w:rFonts w:ascii="Times" w:hAnsi="Times" w:cs="Times"/>
          <w:sz w:val="22"/>
        </w:rPr>
        <w:t xml:space="preserve">Editor: </w:t>
      </w:r>
      <w:r w:rsidR="005848FD">
        <w:rPr>
          <w:rFonts w:ascii="Times" w:hAnsi="Times" w:cs="Times"/>
          <w:sz w:val="22"/>
        </w:rPr>
        <w:t xml:space="preserve">Ingo </w:t>
      </w:r>
      <w:proofErr w:type="spellStart"/>
      <w:r w:rsidR="005848FD">
        <w:rPr>
          <w:rFonts w:ascii="Times" w:hAnsi="Times" w:cs="Times"/>
          <w:sz w:val="22"/>
        </w:rPr>
        <w:t>Simonis</w:t>
      </w:r>
      <w:proofErr w:type="spellEnd"/>
    </w:p>
    <w:p w14:paraId="6BB887DA" w14:textId="77777777" w:rsidR="00DA5FB4" w:rsidRDefault="00DA5FB4" w:rsidP="00DA5FB4">
      <w:pPr>
        <w:pStyle w:val="Normal1"/>
      </w:pPr>
    </w:p>
    <w:p w14:paraId="2140A8EA" w14:textId="77777777" w:rsidR="00DA5FB4" w:rsidRPr="00DA5FB4" w:rsidRDefault="00DA5FB4" w:rsidP="00DA5FB4">
      <w:pPr>
        <w:pStyle w:val="Normal1"/>
      </w:pPr>
    </w:p>
    <w:p w14:paraId="7DDB937C" w14:textId="5A1F1FE4" w:rsidR="00DA5FB4" w:rsidRDefault="00DA5FB4" w:rsidP="00DA5FB4">
      <w:pPr>
        <w:pStyle w:val="zzCover"/>
        <w:jc w:val="center"/>
        <w:rPr>
          <w:b/>
          <w:color w:val="0000FF"/>
          <w:sz w:val="32"/>
        </w:rPr>
      </w:pPr>
      <w:r>
        <w:rPr>
          <w:b/>
          <w:sz w:val="32"/>
        </w:rPr>
        <w:t xml:space="preserve">OGC </w:t>
      </w:r>
      <w:r w:rsidR="005940FA">
        <w:rPr>
          <w:b/>
          <w:sz w:val="32"/>
        </w:rPr>
        <w:t>Engineering Services</w:t>
      </w:r>
    </w:p>
    <w:p w14:paraId="6BB5EA30" w14:textId="77777777" w:rsidR="00DA5FB4" w:rsidRDefault="00DA5FB4" w:rsidP="00DA5FB4">
      <w:pPr>
        <w:pStyle w:val="zzCopyright"/>
        <w:pBdr>
          <w:top w:val="none" w:sz="0" w:space="0" w:color="auto"/>
          <w:left w:val="none" w:sz="0" w:space="0" w:color="auto"/>
          <w:bottom w:val="none" w:sz="0" w:space="0" w:color="auto"/>
          <w:right w:val="none" w:sz="0" w:space="0" w:color="auto"/>
        </w:pBdr>
        <w:jc w:val="center"/>
        <w:rPr>
          <w:rFonts w:ascii="Times" w:hAnsi="Times"/>
          <w:color w:val="auto"/>
          <w:sz w:val="22"/>
        </w:rPr>
      </w:pPr>
    </w:p>
    <w:p w14:paraId="3CE63417" w14:textId="77777777" w:rsidR="00DA5FB4" w:rsidRDefault="00DA5FB4" w:rsidP="00DA5FB4">
      <w:pPr>
        <w:pStyle w:val="zzCopyright"/>
        <w:pBdr>
          <w:top w:val="none" w:sz="0" w:space="0" w:color="auto"/>
          <w:left w:val="none" w:sz="0" w:space="0" w:color="auto"/>
          <w:bottom w:val="none" w:sz="0" w:space="0" w:color="auto"/>
          <w:right w:val="none" w:sz="0" w:space="0" w:color="auto"/>
        </w:pBdr>
        <w:jc w:val="center"/>
        <w:rPr>
          <w:rFonts w:ascii="Times" w:hAnsi="Times"/>
          <w:color w:val="auto"/>
          <w:sz w:val="22"/>
        </w:rPr>
      </w:pPr>
    </w:p>
    <w:p w14:paraId="66692B8C" w14:textId="77777777" w:rsidR="00DA5FB4" w:rsidRDefault="00DA5FB4" w:rsidP="00DA5FB4">
      <w:pPr>
        <w:pStyle w:val="zzCopyright"/>
        <w:pBdr>
          <w:top w:val="none" w:sz="0" w:space="0" w:color="auto"/>
          <w:left w:val="none" w:sz="0" w:space="0" w:color="auto"/>
          <w:bottom w:val="none" w:sz="0" w:space="0" w:color="auto"/>
          <w:right w:val="none" w:sz="0" w:space="0" w:color="auto"/>
        </w:pBdr>
        <w:jc w:val="center"/>
        <w:rPr>
          <w:rFonts w:ascii="Times" w:hAnsi="Times"/>
          <w:color w:val="auto"/>
          <w:sz w:val="22"/>
        </w:rPr>
      </w:pPr>
      <w:r>
        <w:rPr>
          <w:rFonts w:ascii="Times" w:hAnsi="Times"/>
          <w:color w:val="auto"/>
          <w:sz w:val="22"/>
        </w:rPr>
        <w:t>This document is an OGC Member approved Policies and Procedures Document.</w:t>
      </w:r>
    </w:p>
    <w:p w14:paraId="45A080FC" w14:textId="77777777" w:rsidR="00DA5FB4" w:rsidRDefault="00DA5FB4" w:rsidP="00DA5FB4">
      <w:pPr>
        <w:rPr>
          <w:lang w:val="en-GB"/>
        </w:rPr>
      </w:pPr>
    </w:p>
    <w:p w14:paraId="398123C1" w14:textId="77777777" w:rsidR="00DA5FB4" w:rsidRDefault="00DA5FB4" w:rsidP="00DA5FB4">
      <w:pPr>
        <w:rPr>
          <w:lang w:val="en-GB"/>
        </w:rPr>
      </w:pPr>
    </w:p>
    <w:p w14:paraId="2A4585A5" w14:textId="77777777" w:rsidR="00DA5FB4" w:rsidRDefault="00DA5FB4" w:rsidP="00DA5FB4">
      <w:pPr>
        <w:rPr>
          <w:lang w:val="en-GB"/>
        </w:rPr>
      </w:pPr>
    </w:p>
    <w:p w14:paraId="4997C7C5" w14:textId="77777777" w:rsidR="00DA5FB4" w:rsidRDefault="00DA5FB4" w:rsidP="00DA5FB4">
      <w:pPr>
        <w:pStyle w:val="zzCopyright"/>
        <w:pBdr>
          <w:top w:val="none" w:sz="0" w:space="0" w:color="auto"/>
          <w:left w:val="none" w:sz="0" w:space="0" w:color="auto"/>
          <w:bottom w:val="none" w:sz="0" w:space="0" w:color="auto"/>
          <w:right w:val="none" w:sz="0" w:space="0" w:color="auto"/>
        </w:pBdr>
        <w:jc w:val="center"/>
        <w:rPr>
          <w:rFonts w:ascii="Times" w:hAnsi="Times"/>
          <w:b/>
          <w:color w:val="auto"/>
          <w:sz w:val="20"/>
        </w:rPr>
      </w:pPr>
      <w:r>
        <w:rPr>
          <w:rFonts w:ascii="Times" w:hAnsi="Times"/>
          <w:b/>
          <w:color w:val="auto"/>
          <w:sz w:val="20"/>
        </w:rPr>
        <w:t>Copyright © 2015 Open Geospatial Consortium</w:t>
      </w:r>
    </w:p>
    <w:p w14:paraId="5ED7A3E3" w14:textId="77777777" w:rsidR="00DA5FB4" w:rsidRDefault="00DA5FB4" w:rsidP="00DA5FB4">
      <w:pPr>
        <w:pStyle w:val="zzCopyright"/>
        <w:pBdr>
          <w:top w:val="none" w:sz="0" w:space="0" w:color="auto"/>
          <w:left w:val="none" w:sz="0" w:space="0" w:color="auto"/>
          <w:bottom w:val="none" w:sz="0" w:space="0" w:color="auto"/>
          <w:right w:val="none" w:sz="0" w:space="0" w:color="auto"/>
        </w:pBdr>
        <w:jc w:val="center"/>
        <w:rPr>
          <w:rFonts w:ascii="Times" w:hAnsi="Times"/>
          <w:color w:val="auto"/>
          <w:sz w:val="20"/>
        </w:rPr>
      </w:pPr>
      <w:r>
        <w:rPr>
          <w:rFonts w:ascii="Times" w:hAnsi="Times"/>
          <w:color w:val="auto"/>
          <w:sz w:val="20"/>
        </w:rPr>
        <w:t xml:space="preserve">To obtain additional rights of use, visit </w:t>
      </w:r>
      <w:hyperlink r:id="rId8" w:history="1">
        <w:r w:rsidRPr="00347AF5">
          <w:rPr>
            <w:rStyle w:val="Hyperlink"/>
            <w:rFonts w:ascii="Times" w:hAnsi="Times"/>
            <w:sz w:val="20"/>
          </w:rPr>
          <w:t>http://www.opengeospatial.org/legal</w:t>
        </w:r>
      </w:hyperlink>
    </w:p>
    <w:p w14:paraId="4824DF4F" w14:textId="77777777" w:rsidR="00DA5FB4" w:rsidRDefault="00DA5FB4" w:rsidP="00DA5FB4">
      <w:pPr>
        <w:rPr>
          <w:lang w:val="en-GB"/>
        </w:rPr>
      </w:pPr>
    </w:p>
    <w:p w14:paraId="11B714B5" w14:textId="77777777" w:rsidR="00DA5FB4" w:rsidRDefault="00DA5FB4" w:rsidP="00DA5FB4">
      <w:pPr>
        <w:rPr>
          <w:lang w:val="en-GB"/>
        </w:rPr>
      </w:pPr>
    </w:p>
    <w:p w14:paraId="37A2240B" w14:textId="77777777" w:rsidR="00DA5FB4" w:rsidRPr="00DA5FB4" w:rsidRDefault="00DA5FB4" w:rsidP="00DA5FB4">
      <w:pPr>
        <w:rPr>
          <w:lang w:val="en-GB"/>
        </w:rPr>
      </w:pPr>
    </w:p>
    <w:p w14:paraId="6161BEA4" w14:textId="77777777" w:rsidR="00DA5FB4" w:rsidRPr="00DA5FB4" w:rsidRDefault="00DA5FB4" w:rsidP="00DA5FB4">
      <w:pPr>
        <w:pStyle w:val="Normal1"/>
      </w:pPr>
    </w:p>
    <w:p w14:paraId="66D8F455" w14:textId="77777777" w:rsidR="007D3005" w:rsidRPr="007D3005" w:rsidRDefault="007D3005" w:rsidP="007D3005">
      <w:pPr>
        <w:pStyle w:val="Normal1"/>
      </w:pPr>
    </w:p>
    <w:p w14:paraId="544D1480" w14:textId="77777777" w:rsidR="00DA5FB4" w:rsidRDefault="00DA5FB4">
      <w:pPr>
        <w:spacing w:after="0"/>
        <w:rPr>
          <w:rFonts w:ascii="Trebuchet MS" w:eastAsia="Trebuchet MS" w:hAnsi="Trebuchet MS" w:cs="Trebuchet MS"/>
          <w:sz w:val="42"/>
        </w:rPr>
      </w:pPr>
      <w:r>
        <w:br w:type="page"/>
      </w:r>
    </w:p>
    <w:p w14:paraId="63D7E261" w14:textId="6B9BBC94" w:rsidR="000F2FFE" w:rsidRDefault="000F2FFE">
      <w:pPr>
        <w:pStyle w:val="TOC1"/>
        <w:tabs>
          <w:tab w:val="right" w:leader="dot" w:pos="8630"/>
        </w:tabs>
      </w:pPr>
      <w:r>
        <w:lastRenderedPageBreak/>
        <w:t>Table of Contents</w:t>
      </w:r>
    </w:p>
    <w:p w14:paraId="6C148E15" w14:textId="77777777" w:rsidR="000F2FFE" w:rsidRDefault="000F2FFE">
      <w:pPr>
        <w:pStyle w:val="TOC1"/>
        <w:tabs>
          <w:tab w:val="right" w:leader="dot" w:pos="8630"/>
        </w:tabs>
      </w:pPr>
    </w:p>
    <w:p w14:paraId="57273DA7" w14:textId="77777777" w:rsidR="000F2FFE" w:rsidRDefault="000F2FFE">
      <w:pPr>
        <w:pStyle w:val="TOC1"/>
        <w:tabs>
          <w:tab w:val="right" w:leader="dot" w:pos="8630"/>
        </w:tabs>
        <w:rPr>
          <w:rFonts w:asciiTheme="minorHAnsi" w:eastAsiaTheme="minorEastAsia" w:hAnsiTheme="minorHAnsi" w:cstheme="minorBidi"/>
          <w:b w:val="0"/>
          <w:szCs w:val="24"/>
          <w:lang w:eastAsia="ja-JP"/>
        </w:rPr>
      </w:pPr>
      <w:r>
        <w:fldChar w:fldCharType="begin"/>
      </w:r>
      <w:r>
        <w:instrText xml:space="preserve"> TOC \o "1-3" </w:instrText>
      </w:r>
      <w:r>
        <w:fldChar w:fldCharType="separate"/>
      </w:r>
      <w:r>
        <w:t>1 Introduction</w:t>
      </w:r>
      <w:r>
        <w:tab/>
      </w:r>
      <w:r>
        <w:fldChar w:fldCharType="begin"/>
      </w:r>
      <w:r>
        <w:instrText xml:space="preserve"> PAGEREF _Toc300432773 \h </w:instrText>
      </w:r>
      <w:r>
        <w:fldChar w:fldCharType="separate"/>
      </w:r>
      <w:r>
        <w:t>1</w:t>
      </w:r>
      <w:r>
        <w:fldChar w:fldCharType="end"/>
      </w:r>
    </w:p>
    <w:p w14:paraId="17751BF1" w14:textId="77777777" w:rsidR="000F2FFE" w:rsidRDefault="000F2FFE">
      <w:pPr>
        <w:pStyle w:val="TOC1"/>
        <w:tabs>
          <w:tab w:val="right" w:leader="dot" w:pos="8630"/>
        </w:tabs>
        <w:rPr>
          <w:rFonts w:asciiTheme="minorHAnsi" w:eastAsiaTheme="minorEastAsia" w:hAnsiTheme="minorHAnsi" w:cstheme="minorBidi"/>
          <w:b w:val="0"/>
          <w:szCs w:val="24"/>
          <w:lang w:eastAsia="ja-JP"/>
        </w:rPr>
      </w:pPr>
      <w:r>
        <w:t>2 Engineering Services</w:t>
      </w:r>
      <w:r>
        <w:tab/>
      </w:r>
      <w:r>
        <w:fldChar w:fldCharType="begin"/>
      </w:r>
      <w:r>
        <w:instrText xml:space="preserve"> PAGEREF _Toc300432774 \h </w:instrText>
      </w:r>
      <w:r>
        <w:fldChar w:fldCharType="separate"/>
      </w:r>
      <w:r>
        <w:t>1</w:t>
      </w:r>
      <w:r>
        <w:fldChar w:fldCharType="end"/>
      </w:r>
    </w:p>
    <w:p w14:paraId="02BDB217"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2.1 Service Types</w:t>
      </w:r>
      <w:r w:rsidRPr="006F0D16">
        <w:rPr>
          <w:b w:val="0"/>
          <w:sz w:val="24"/>
        </w:rPr>
        <w:tab/>
      </w:r>
      <w:r w:rsidRPr="006F0D16">
        <w:rPr>
          <w:b w:val="0"/>
          <w:sz w:val="24"/>
        </w:rPr>
        <w:fldChar w:fldCharType="begin"/>
      </w:r>
      <w:r w:rsidRPr="006F0D16">
        <w:rPr>
          <w:b w:val="0"/>
          <w:sz w:val="24"/>
        </w:rPr>
        <w:instrText xml:space="preserve"> PAGEREF _Toc300432775 \h </w:instrText>
      </w:r>
      <w:r w:rsidRPr="006F0D16">
        <w:rPr>
          <w:b w:val="0"/>
          <w:sz w:val="24"/>
        </w:rPr>
      </w:r>
      <w:r w:rsidRPr="006F0D16">
        <w:rPr>
          <w:b w:val="0"/>
          <w:sz w:val="24"/>
        </w:rPr>
        <w:fldChar w:fldCharType="separate"/>
      </w:r>
      <w:r w:rsidRPr="006F0D16">
        <w:rPr>
          <w:b w:val="0"/>
          <w:sz w:val="24"/>
        </w:rPr>
        <w:t>2</w:t>
      </w:r>
      <w:r w:rsidRPr="006F0D16">
        <w:rPr>
          <w:b w:val="0"/>
          <w:sz w:val="24"/>
        </w:rPr>
        <w:fldChar w:fldCharType="end"/>
      </w:r>
    </w:p>
    <w:p w14:paraId="4265BF0C"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2.2 Service Roles</w:t>
      </w:r>
      <w:r w:rsidRPr="006F0D16">
        <w:rPr>
          <w:b w:val="0"/>
          <w:sz w:val="24"/>
        </w:rPr>
        <w:tab/>
      </w:r>
      <w:r w:rsidRPr="006F0D16">
        <w:rPr>
          <w:b w:val="0"/>
          <w:sz w:val="24"/>
        </w:rPr>
        <w:fldChar w:fldCharType="begin"/>
      </w:r>
      <w:r w:rsidRPr="006F0D16">
        <w:rPr>
          <w:b w:val="0"/>
          <w:sz w:val="24"/>
        </w:rPr>
        <w:instrText xml:space="preserve"> PAGEREF _Toc300432776 \h </w:instrText>
      </w:r>
      <w:r w:rsidRPr="006F0D16">
        <w:rPr>
          <w:b w:val="0"/>
          <w:sz w:val="24"/>
        </w:rPr>
      </w:r>
      <w:r w:rsidRPr="006F0D16">
        <w:rPr>
          <w:b w:val="0"/>
          <w:sz w:val="24"/>
        </w:rPr>
        <w:fldChar w:fldCharType="separate"/>
      </w:r>
      <w:r w:rsidRPr="006F0D16">
        <w:rPr>
          <w:b w:val="0"/>
          <w:sz w:val="24"/>
        </w:rPr>
        <w:t>3</w:t>
      </w:r>
      <w:r w:rsidRPr="006F0D16">
        <w:rPr>
          <w:b w:val="0"/>
          <w:sz w:val="24"/>
        </w:rPr>
        <w:fldChar w:fldCharType="end"/>
      </w:r>
    </w:p>
    <w:p w14:paraId="545F0D05"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2.2.1 Project Coordination</w:t>
      </w:r>
      <w:r w:rsidRPr="006F0D16">
        <w:rPr>
          <w:b w:val="0"/>
          <w:sz w:val="24"/>
        </w:rPr>
        <w:tab/>
      </w:r>
      <w:r w:rsidRPr="006F0D16">
        <w:rPr>
          <w:b w:val="0"/>
          <w:sz w:val="24"/>
        </w:rPr>
        <w:fldChar w:fldCharType="begin"/>
      </w:r>
      <w:r w:rsidRPr="006F0D16">
        <w:rPr>
          <w:b w:val="0"/>
          <w:sz w:val="24"/>
        </w:rPr>
        <w:instrText xml:space="preserve"> PAGEREF _Toc300432777 \h </w:instrText>
      </w:r>
      <w:r w:rsidRPr="006F0D16">
        <w:rPr>
          <w:b w:val="0"/>
          <w:sz w:val="24"/>
        </w:rPr>
      </w:r>
      <w:r w:rsidRPr="006F0D16">
        <w:rPr>
          <w:b w:val="0"/>
          <w:sz w:val="24"/>
        </w:rPr>
        <w:fldChar w:fldCharType="separate"/>
      </w:r>
      <w:r w:rsidRPr="006F0D16">
        <w:rPr>
          <w:b w:val="0"/>
          <w:sz w:val="24"/>
        </w:rPr>
        <w:t>3</w:t>
      </w:r>
      <w:r w:rsidRPr="006F0D16">
        <w:rPr>
          <w:b w:val="0"/>
          <w:sz w:val="24"/>
        </w:rPr>
        <w:fldChar w:fldCharType="end"/>
      </w:r>
    </w:p>
    <w:p w14:paraId="5D836B9B"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2.2.2 Technical Coordination</w:t>
      </w:r>
      <w:r w:rsidRPr="006F0D16">
        <w:rPr>
          <w:b w:val="0"/>
          <w:sz w:val="24"/>
        </w:rPr>
        <w:tab/>
      </w:r>
      <w:r w:rsidRPr="006F0D16">
        <w:rPr>
          <w:b w:val="0"/>
          <w:sz w:val="24"/>
        </w:rPr>
        <w:fldChar w:fldCharType="begin"/>
      </w:r>
      <w:r w:rsidRPr="006F0D16">
        <w:rPr>
          <w:b w:val="0"/>
          <w:sz w:val="24"/>
        </w:rPr>
        <w:instrText xml:space="preserve"> PAGEREF _Toc300432778 \h </w:instrText>
      </w:r>
      <w:r w:rsidRPr="006F0D16">
        <w:rPr>
          <w:b w:val="0"/>
          <w:sz w:val="24"/>
        </w:rPr>
      </w:r>
      <w:r w:rsidRPr="006F0D16">
        <w:rPr>
          <w:b w:val="0"/>
          <w:sz w:val="24"/>
        </w:rPr>
        <w:fldChar w:fldCharType="separate"/>
      </w:r>
      <w:r w:rsidRPr="006F0D16">
        <w:rPr>
          <w:b w:val="0"/>
          <w:sz w:val="24"/>
        </w:rPr>
        <w:t>4</w:t>
      </w:r>
      <w:r w:rsidRPr="006F0D16">
        <w:rPr>
          <w:b w:val="0"/>
          <w:sz w:val="24"/>
        </w:rPr>
        <w:fldChar w:fldCharType="end"/>
      </w:r>
    </w:p>
    <w:p w14:paraId="15C3FDA4"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2.2.3 Architecture Development &amp; Research</w:t>
      </w:r>
      <w:r w:rsidRPr="006F0D16">
        <w:rPr>
          <w:b w:val="0"/>
          <w:sz w:val="24"/>
        </w:rPr>
        <w:tab/>
      </w:r>
      <w:r w:rsidRPr="006F0D16">
        <w:rPr>
          <w:b w:val="0"/>
          <w:sz w:val="24"/>
        </w:rPr>
        <w:fldChar w:fldCharType="begin"/>
      </w:r>
      <w:r w:rsidRPr="006F0D16">
        <w:rPr>
          <w:b w:val="0"/>
          <w:sz w:val="24"/>
        </w:rPr>
        <w:instrText xml:space="preserve"> PAGEREF _Toc300432779 \h </w:instrText>
      </w:r>
      <w:r w:rsidRPr="006F0D16">
        <w:rPr>
          <w:b w:val="0"/>
          <w:sz w:val="24"/>
        </w:rPr>
      </w:r>
      <w:r w:rsidRPr="006F0D16">
        <w:rPr>
          <w:b w:val="0"/>
          <w:sz w:val="24"/>
        </w:rPr>
        <w:fldChar w:fldCharType="separate"/>
      </w:r>
      <w:r w:rsidRPr="006F0D16">
        <w:rPr>
          <w:b w:val="0"/>
          <w:sz w:val="24"/>
        </w:rPr>
        <w:t>4</w:t>
      </w:r>
      <w:r w:rsidRPr="006F0D16">
        <w:rPr>
          <w:b w:val="0"/>
          <w:sz w:val="24"/>
        </w:rPr>
        <w:fldChar w:fldCharType="end"/>
      </w:r>
    </w:p>
    <w:p w14:paraId="1AE63860"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2.2.4 Knowledge Transfer</w:t>
      </w:r>
      <w:r w:rsidRPr="006F0D16">
        <w:rPr>
          <w:b w:val="0"/>
          <w:sz w:val="24"/>
        </w:rPr>
        <w:tab/>
      </w:r>
      <w:r w:rsidRPr="006F0D16">
        <w:rPr>
          <w:b w:val="0"/>
          <w:sz w:val="24"/>
        </w:rPr>
        <w:fldChar w:fldCharType="begin"/>
      </w:r>
      <w:r w:rsidRPr="006F0D16">
        <w:rPr>
          <w:b w:val="0"/>
          <w:sz w:val="24"/>
        </w:rPr>
        <w:instrText xml:space="preserve"> PAGEREF _Toc300432780 \h </w:instrText>
      </w:r>
      <w:r w:rsidRPr="006F0D16">
        <w:rPr>
          <w:b w:val="0"/>
          <w:sz w:val="24"/>
        </w:rPr>
      </w:r>
      <w:r w:rsidRPr="006F0D16">
        <w:rPr>
          <w:b w:val="0"/>
          <w:sz w:val="24"/>
        </w:rPr>
        <w:fldChar w:fldCharType="separate"/>
      </w:r>
      <w:r w:rsidRPr="006F0D16">
        <w:rPr>
          <w:b w:val="0"/>
          <w:sz w:val="24"/>
        </w:rPr>
        <w:t>4</w:t>
      </w:r>
      <w:r w:rsidRPr="006F0D16">
        <w:rPr>
          <w:b w:val="0"/>
          <w:sz w:val="24"/>
        </w:rPr>
        <w:fldChar w:fldCharType="end"/>
      </w:r>
    </w:p>
    <w:p w14:paraId="0D0D6C68" w14:textId="77777777" w:rsidR="000F2FFE" w:rsidRPr="006F0D16" w:rsidRDefault="000F2FFE">
      <w:pPr>
        <w:pStyle w:val="TOC2"/>
        <w:tabs>
          <w:tab w:val="right" w:leader="dot" w:pos="8630"/>
        </w:tabs>
        <w:rPr>
          <w:rFonts w:asciiTheme="minorHAnsi" w:eastAsiaTheme="minorEastAsia" w:hAnsiTheme="minorHAnsi" w:cstheme="minorBidi"/>
          <w:b w:val="0"/>
          <w:sz w:val="32"/>
          <w:szCs w:val="24"/>
          <w:lang w:eastAsia="ja-JP"/>
        </w:rPr>
      </w:pPr>
      <w:r w:rsidRPr="006F0D16">
        <w:rPr>
          <w:b w:val="0"/>
          <w:sz w:val="24"/>
        </w:rPr>
        <w:t>2.2.5 Exploitation and Dissemination</w:t>
      </w:r>
      <w:r w:rsidRPr="006F0D16">
        <w:rPr>
          <w:b w:val="0"/>
          <w:sz w:val="24"/>
        </w:rPr>
        <w:tab/>
      </w:r>
      <w:r w:rsidRPr="006F0D16">
        <w:rPr>
          <w:b w:val="0"/>
          <w:sz w:val="24"/>
        </w:rPr>
        <w:fldChar w:fldCharType="begin"/>
      </w:r>
      <w:r w:rsidRPr="006F0D16">
        <w:rPr>
          <w:b w:val="0"/>
          <w:sz w:val="24"/>
        </w:rPr>
        <w:instrText xml:space="preserve"> PAGEREF _Toc300432781 \h </w:instrText>
      </w:r>
      <w:r w:rsidRPr="006F0D16">
        <w:rPr>
          <w:b w:val="0"/>
          <w:sz w:val="24"/>
        </w:rPr>
      </w:r>
      <w:r w:rsidRPr="006F0D16">
        <w:rPr>
          <w:b w:val="0"/>
          <w:sz w:val="24"/>
        </w:rPr>
        <w:fldChar w:fldCharType="separate"/>
      </w:r>
      <w:r w:rsidRPr="006F0D16">
        <w:rPr>
          <w:b w:val="0"/>
          <w:sz w:val="24"/>
        </w:rPr>
        <w:t>4</w:t>
      </w:r>
      <w:r w:rsidRPr="006F0D16">
        <w:rPr>
          <w:b w:val="0"/>
          <w:sz w:val="24"/>
        </w:rPr>
        <w:fldChar w:fldCharType="end"/>
      </w:r>
    </w:p>
    <w:p w14:paraId="570487BB" w14:textId="77777777" w:rsidR="000F2FFE" w:rsidRDefault="000F2FFE">
      <w:pPr>
        <w:pStyle w:val="TOC1"/>
        <w:tabs>
          <w:tab w:val="right" w:leader="dot" w:pos="8630"/>
        </w:tabs>
        <w:rPr>
          <w:rFonts w:asciiTheme="minorHAnsi" w:eastAsiaTheme="minorEastAsia" w:hAnsiTheme="minorHAnsi" w:cstheme="minorBidi"/>
          <w:b w:val="0"/>
          <w:szCs w:val="24"/>
          <w:lang w:eastAsia="ja-JP"/>
        </w:rPr>
      </w:pPr>
      <w:r>
        <w:t>3 General Principles of Operation</w:t>
      </w:r>
      <w:r>
        <w:tab/>
      </w:r>
      <w:r>
        <w:fldChar w:fldCharType="begin"/>
      </w:r>
      <w:r>
        <w:instrText xml:space="preserve"> PAGEREF _Toc300432782 \h </w:instrText>
      </w:r>
      <w:r>
        <w:fldChar w:fldCharType="separate"/>
      </w:r>
      <w:r>
        <w:t>4</w:t>
      </w:r>
      <w:r>
        <w:fldChar w:fldCharType="end"/>
      </w:r>
    </w:p>
    <w:p w14:paraId="29195363" w14:textId="70CB5818" w:rsidR="00CD5D6F" w:rsidRDefault="000F2FFE" w:rsidP="00CD5D6F">
      <w:pPr>
        <w:pStyle w:val="Title"/>
        <w:contextualSpacing w:val="0"/>
        <w:rPr>
          <w:sz w:val="24"/>
        </w:rPr>
      </w:pPr>
      <w:r>
        <w:rPr>
          <w:sz w:val="24"/>
        </w:rPr>
        <w:fldChar w:fldCharType="end"/>
      </w:r>
    </w:p>
    <w:p w14:paraId="6C3BE06A" w14:textId="77777777" w:rsidR="00CD5D6F" w:rsidRDefault="00CD5D6F">
      <w:pPr>
        <w:spacing w:after="0"/>
        <w:rPr>
          <w:rFonts w:ascii="Trebuchet MS" w:eastAsia="Trebuchet MS" w:hAnsi="Trebuchet MS" w:cs="Trebuchet MS"/>
          <w:sz w:val="24"/>
        </w:rPr>
      </w:pPr>
      <w:r>
        <w:rPr>
          <w:sz w:val="24"/>
        </w:rPr>
        <w:br w:type="page"/>
      </w:r>
    </w:p>
    <w:p w14:paraId="352C799A" w14:textId="77777777" w:rsidR="00CD5D6F" w:rsidRPr="000F2FFE" w:rsidRDefault="00CD5D6F" w:rsidP="000F2FFE">
      <w:pPr>
        <w:rPr>
          <w:b/>
          <w:sz w:val="28"/>
        </w:rPr>
      </w:pPr>
      <w:r w:rsidRPr="000F2FFE">
        <w:rPr>
          <w:b/>
          <w:sz w:val="28"/>
        </w:rPr>
        <w:lastRenderedPageBreak/>
        <w:t>Revision history</w:t>
      </w:r>
    </w:p>
    <w:tbl>
      <w:tblPr>
        <w:tblW w:w="0" w:type="auto"/>
        <w:tblInd w:w="-5" w:type="dxa"/>
        <w:tblLayout w:type="fixed"/>
        <w:tblCellMar>
          <w:left w:w="72" w:type="dxa"/>
          <w:right w:w="72" w:type="dxa"/>
        </w:tblCellMar>
        <w:tblLook w:val="0000" w:firstRow="0" w:lastRow="0" w:firstColumn="0" w:lastColumn="0" w:noHBand="0" w:noVBand="0"/>
      </w:tblPr>
      <w:tblGrid>
        <w:gridCol w:w="1353"/>
        <w:gridCol w:w="884"/>
        <w:gridCol w:w="1710"/>
        <w:gridCol w:w="1525"/>
        <w:gridCol w:w="3250"/>
      </w:tblGrid>
      <w:tr w:rsidR="00CD5D6F" w:rsidRPr="000F2FFE" w14:paraId="30A8917D" w14:textId="77777777" w:rsidTr="001B74CA">
        <w:tc>
          <w:tcPr>
            <w:tcW w:w="1353" w:type="dxa"/>
            <w:tcBorders>
              <w:top w:val="single" w:sz="2" w:space="0" w:color="000000"/>
              <w:left w:val="single" w:sz="2" w:space="0" w:color="000000"/>
              <w:bottom w:val="double" w:sz="4" w:space="0" w:color="auto"/>
              <w:right w:val="single" w:sz="2" w:space="0" w:color="000000"/>
            </w:tcBorders>
          </w:tcPr>
          <w:p w14:paraId="0641CF4F" w14:textId="77777777" w:rsidR="00CD5D6F" w:rsidRPr="000F2FFE" w:rsidRDefault="00CD5D6F" w:rsidP="001B74CA">
            <w:pPr>
              <w:pStyle w:val="OGCtableheader"/>
              <w:keepNext/>
              <w:rPr>
                <w:rFonts w:ascii="Arial" w:hAnsi="Arial"/>
              </w:rPr>
            </w:pPr>
            <w:r w:rsidRPr="000F2FFE">
              <w:rPr>
                <w:rFonts w:ascii="Arial" w:hAnsi="Arial"/>
              </w:rPr>
              <w:t>Date</w:t>
            </w:r>
          </w:p>
        </w:tc>
        <w:tc>
          <w:tcPr>
            <w:tcW w:w="884" w:type="dxa"/>
            <w:tcBorders>
              <w:top w:val="single" w:sz="2" w:space="0" w:color="000000"/>
              <w:left w:val="single" w:sz="2" w:space="0" w:color="000000"/>
              <w:bottom w:val="double" w:sz="4" w:space="0" w:color="auto"/>
              <w:right w:val="single" w:sz="2" w:space="0" w:color="000000"/>
            </w:tcBorders>
          </w:tcPr>
          <w:p w14:paraId="25BAAC51" w14:textId="77777777" w:rsidR="00CD5D6F" w:rsidRPr="000F2FFE" w:rsidRDefault="00CD5D6F" w:rsidP="001B74CA">
            <w:pPr>
              <w:pStyle w:val="OGCtableheader"/>
              <w:keepNext/>
              <w:rPr>
                <w:rFonts w:ascii="Arial" w:hAnsi="Arial"/>
              </w:rPr>
            </w:pPr>
            <w:r w:rsidRPr="000F2FFE">
              <w:rPr>
                <w:rFonts w:ascii="Arial" w:hAnsi="Arial"/>
              </w:rPr>
              <w:t>Version</w:t>
            </w:r>
          </w:p>
        </w:tc>
        <w:tc>
          <w:tcPr>
            <w:tcW w:w="1710" w:type="dxa"/>
            <w:tcBorders>
              <w:top w:val="single" w:sz="2" w:space="0" w:color="000000"/>
              <w:left w:val="single" w:sz="2" w:space="0" w:color="000000"/>
              <w:bottom w:val="double" w:sz="4" w:space="0" w:color="auto"/>
              <w:right w:val="single" w:sz="2" w:space="0" w:color="000000"/>
            </w:tcBorders>
          </w:tcPr>
          <w:p w14:paraId="0571761F" w14:textId="77777777" w:rsidR="00CD5D6F" w:rsidRPr="000F2FFE" w:rsidRDefault="00CD5D6F" w:rsidP="001B74CA">
            <w:pPr>
              <w:pStyle w:val="OGCtableheader"/>
              <w:keepNext/>
              <w:rPr>
                <w:rFonts w:ascii="Arial" w:hAnsi="Arial"/>
              </w:rPr>
            </w:pPr>
            <w:r w:rsidRPr="000F2FFE">
              <w:rPr>
                <w:rFonts w:ascii="Arial" w:hAnsi="Arial"/>
              </w:rPr>
              <w:t>Editor</w:t>
            </w:r>
          </w:p>
        </w:tc>
        <w:tc>
          <w:tcPr>
            <w:tcW w:w="1525" w:type="dxa"/>
            <w:tcBorders>
              <w:top w:val="single" w:sz="2" w:space="0" w:color="000000"/>
              <w:left w:val="single" w:sz="2" w:space="0" w:color="000000"/>
              <w:bottom w:val="double" w:sz="4" w:space="0" w:color="auto"/>
              <w:right w:val="single" w:sz="2" w:space="0" w:color="000000"/>
            </w:tcBorders>
          </w:tcPr>
          <w:p w14:paraId="6CCD3CCE" w14:textId="77777777" w:rsidR="00CD5D6F" w:rsidRPr="000F2FFE" w:rsidRDefault="00CD5D6F" w:rsidP="001B74CA">
            <w:pPr>
              <w:pStyle w:val="OGCtableheader"/>
              <w:keepNext/>
              <w:rPr>
                <w:rFonts w:ascii="Arial" w:hAnsi="Arial"/>
              </w:rPr>
            </w:pPr>
            <w:r w:rsidRPr="000F2FFE">
              <w:rPr>
                <w:rFonts w:ascii="Arial" w:hAnsi="Arial"/>
              </w:rPr>
              <w:t>Primary clauses modified</w:t>
            </w:r>
          </w:p>
        </w:tc>
        <w:tc>
          <w:tcPr>
            <w:tcW w:w="3250" w:type="dxa"/>
            <w:tcBorders>
              <w:top w:val="single" w:sz="2" w:space="0" w:color="000000"/>
              <w:left w:val="single" w:sz="2" w:space="0" w:color="000000"/>
              <w:bottom w:val="double" w:sz="4" w:space="0" w:color="auto"/>
              <w:right w:val="single" w:sz="2" w:space="0" w:color="000000"/>
            </w:tcBorders>
          </w:tcPr>
          <w:p w14:paraId="18A297DC" w14:textId="77777777" w:rsidR="00CD5D6F" w:rsidRPr="000F2FFE" w:rsidRDefault="00CD5D6F" w:rsidP="001B74CA">
            <w:pPr>
              <w:pStyle w:val="OGCtableheader"/>
              <w:keepNext/>
              <w:rPr>
                <w:rFonts w:ascii="Arial" w:hAnsi="Arial"/>
              </w:rPr>
            </w:pPr>
            <w:r w:rsidRPr="000F2FFE">
              <w:rPr>
                <w:rFonts w:ascii="Arial" w:hAnsi="Arial"/>
              </w:rPr>
              <w:t>Description</w:t>
            </w:r>
          </w:p>
        </w:tc>
      </w:tr>
      <w:tr w:rsidR="00CD5D6F" w:rsidRPr="000F2FFE" w14:paraId="1C781F12" w14:textId="77777777" w:rsidTr="001B74CA">
        <w:tc>
          <w:tcPr>
            <w:tcW w:w="1353" w:type="dxa"/>
            <w:tcBorders>
              <w:top w:val="double" w:sz="4" w:space="0" w:color="auto"/>
              <w:left w:val="single" w:sz="1" w:space="0" w:color="000000"/>
              <w:bottom w:val="single" w:sz="4" w:space="0" w:color="auto"/>
            </w:tcBorders>
          </w:tcPr>
          <w:p w14:paraId="4DE23596" w14:textId="2683605D" w:rsidR="00CD5D6F" w:rsidRPr="000F2FFE" w:rsidRDefault="001B74CA" w:rsidP="001B74CA">
            <w:pPr>
              <w:pStyle w:val="OGCtabletext"/>
              <w:rPr>
                <w:rFonts w:ascii="Arial" w:hAnsi="Arial"/>
              </w:rPr>
            </w:pPr>
            <w:r w:rsidRPr="000F2FFE">
              <w:rPr>
                <w:rFonts w:ascii="Arial" w:hAnsi="Arial"/>
              </w:rPr>
              <w:t>2015-02-23</w:t>
            </w:r>
          </w:p>
        </w:tc>
        <w:tc>
          <w:tcPr>
            <w:tcW w:w="884" w:type="dxa"/>
            <w:tcBorders>
              <w:top w:val="double" w:sz="4" w:space="0" w:color="auto"/>
              <w:left w:val="single" w:sz="1" w:space="0" w:color="000000"/>
              <w:bottom w:val="single" w:sz="4" w:space="0" w:color="auto"/>
            </w:tcBorders>
          </w:tcPr>
          <w:p w14:paraId="7A2E98C6" w14:textId="77777777" w:rsidR="00CD5D6F" w:rsidRPr="000F2FFE" w:rsidRDefault="00CD5D6F" w:rsidP="001B74CA">
            <w:pPr>
              <w:pStyle w:val="OGCtabletext"/>
              <w:rPr>
                <w:rFonts w:ascii="Arial" w:hAnsi="Arial"/>
              </w:rPr>
            </w:pPr>
            <w:r w:rsidRPr="000F2FFE">
              <w:rPr>
                <w:rFonts w:ascii="Arial" w:hAnsi="Arial"/>
              </w:rPr>
              <w:t>0.1</w:t>
            </w:r>
          </w:p>
        </w:tc>
        <w:tc>
          <w:tcPr>
            <w:tcW w:w="1710" w:type="dxa"/>
            <w:tcBorders>
              <w:top w:val="double" w:sz="4" w:space="0" w:color="auto"/>
              <w:left w:val="single" w:sz="1" w:space="0" w:color="000000"/>
              <w:bottom w:val="single" w:sz="4" w:space="0" w:color="auto"/>
            </w:tcBorders>
          </w:tcPr>
          <w:p w14:paraId="68A7E999" w14:textId="4721234A" w:rsidR="00CD5D6F" w:rsidRPr="000F2FFE" w:rsidRDefault="001B74CA" w:rsidP="001B74CA">
            <w:pPr>
              <w:pStyle w:val="OGCtabletext"/>
              <w:rPr>
                <w:rFonts w:ascii="Arial" w:hAnsi="Arial"/>
              </w:rPr>
            </w:pPr>
            <w:r w:rsidRPr="000F2FFE">
              <w:rPr>
                <w:rFonts w:ascii="Arial" w:hAnsi="Arial"/>
              </w:rPr>
              <w:t>Ingo Simonis</w:t>
            </w:r>
          </w:p>
        </w:tc>
        <w:tc>
          <w:tcPr>
            <w:tcW w:w="1525" w:type="dxa"/>
            <w:tcBorders>
              <w:top w:val="double" w:sz="4" w:space="0" w:color="auto"/>
              <w:left w:val="single" w:sz="1" w:space="0" w:color="000000"/>
              <w:bottom w:val="single" w:sz="4" w:space="0" w:color="auto"/>
            </w:tcBorders>
          </w:tcPr>
          <w:p w14:paraId="0CB99496" w14:textId="77777777" w:rsidR="00CD5D6F" w:rsidRPr="000F2FFE" w:rsidRDefault="00CD5D6F" w:rsidP="001B74CA">
            <w:pPr>
              <w:pStyle w:val="OGCtabletext"/>
              <w:rPr>
                <w:rFonts w:ascii="Arial" w:hAnsi="Arial"/>
              </w:rPr>
            </w:pPr>
            <w:r w:rsidRPr="000F2FFE">
              <w:rPr>
                <w:rFonts w:ascii="Arial" w:hAnsi="Arial"/>
              </w:rPr>
              <w:t>N/A</w:t>
            </w:r>
          </w:p>
        </w:tc>
        <w:tc>
          <w:tcPr>
            <w:tcW w:w="3250" w:type="dxa"/>
            <w:tcBorders>
              <w:top w:val="double" w:sz="4" w:space="0" w:color="auto"/>
              <w:left w:val="single" w:sz="1" w:space="0" w:color="000000"/>
              <w:bottom w:val="single" w:sz="4" w:space="0" w:color="auto"/>
              <w:right w:val="single" w:sz="1" w:space="0" w:color="000000"/>
            </w:tcBorders>
          </w:tcPr>
          <w:p w14:paraId="4685F796" w14:textId="77777777" w:rsidR="00CD5D6F" w:rsidRPr="000F2FFE" w:rsidRDefault="00CD5D6F" w:rsidP="001B74CA">
            <w:pPr>
              <w:pStyle w:val="OGCtabletext"/>
              <w:rPr>
                <w:rFonts w:ascii="Arial" w:hAnsi="Arial"/>
              </w:rPr>
            </w:pPr>
            <w:r w:rsidRPr="000F2FFE">
              <w:rPr>
                <w:rFonts w:ascii="Arial" w:hAnsi="Arial"/>
              </w:rPr>
              <w:t>Initial Version</w:t>
            </w:r>
          </w:p>
        </w:tc>
      </w:tr>
      <w:tr w:rsidR="001B74CA" w:rsidRPr="000F2FFE" w14:paraId="3B8D8BB5" w14:textId="77777777" w:rsidTr="001B74CA">
        <w:tc>
          <w:tcPr>
            <w:tcW w:w="1353" w:type="dxa"/>
            <w:tcBorders>
              <w:top w:val="single" w:sz="4" w:space="0" w:color="auto"/>
              <w:left w:val="single" w:sz="4" w:space="0" w:color="auto"/>
              <w:bottom w:val="single" w:sz="4" w:space="0" w:color="auto"/>
              <w:right w:val="single" w:sz="4" w:space="0" w:color="auto"/>
            </w:tcBorders>
          </w:tcPr>
          <w:p w14:paraId="6118E4D4" w14:textId="40356257" w:rsidR="001B74CA" w:rsidRPr="000F2FFE" w:rsidRDefault="001B74CA" w:rsidP="001B74CA">
            <w:pPr>
              <w:pStyle w:val="OGCtabletext"/>
              <w:rPr>
                <w:rFonts w:ascii="Arial" w:hAnsi="Arial"/>
              </w:rPr>
            </w:pPr>
            <w:r w:rsidRPr="000F2FFE">
              <w:rPr>
                <w:rFonts w:ascii="Arial" w:hAnsi="Arial"/>
              </w:rPr>
              <w:t>2015-03-01</w:t>
            </w:r>
          </w:p>
        </w:tc>
        <w:tc>
          <w:tcPr>
            <w:tcW w:w="884" w:type="dxa"/>
            <w:tcBorders>
              <w:top w:val="single" w:sz="4" w:space="0" w:color="auto"/>
              <w:left w:val="single" w:sz="4" w:space="0" w:color="auto"/>
              <w:bottom w:val="single" w:sz="4" w:space="0" w:color="auto"/>
              <w:right w:val="single" w:sz="4" w:space="0" w:color="auto"/>
            </w:tcBorders>
          </w:tcPr>
          <w:p w14:paraId="130F95A0" w14:textId="5B0A774D" w:rsidR="001B74CA" w:rsidRPr="000F2FFE" w:rsidRDefault="001B74CA" w:rsidP="001B74CA">
            <w:pPr>
              <w:pStyle w:val="OGCtabletext"/>
              <w:rPr>
                <w:rFonts w:ascii="Arial" w:hAnsi="Arial"/>
              </w:rPr>
            </w:pPr>
            <w:r w:rsidRPr="000F2FFE">
              <w:rPr>
                <w:rFonts w:ascii="Arial" w:hAnsi="Arial"/>
              </w:rPr>
              <w:t>1.0</w:t>
            </w:r>
          </w:p>
        </w:tc>
        <w:tc>
          <w:tcPr>
            <w:tcW w:w="1710" w:type="dxa"/>
            <w:tcBorders>
              <w:top w:val="single" w:sz="4" w:space="0" w:color="auto"/>
              <w:left w:val="single" w:sz="4" w:space="0" w:color="auto"/>
              <w:bottom w:val="single" w:sz="4" w:space="0" w:color="auto"/>
              <w:right w:val="single" w:sz="4" w:space="0" w:color="auto"/>
            </w:tcBorders>
          </w:tcPr>
          <w:p w14:paraId="57EBD139" w14:textId="3B8F9AB1" w:rsidR="001B74CA" w:rsidRPr="000F2FFE" w:rsidRDefault="001B74CA" w:rsidP="001B74CA">
            <w:pPr>
              <w:pStyle w:val="OGCtabletext"/>
              <w:rPr>
                <w:rFonts w:ascii="Arial" w:hAnsi="Arial"/>
              </w:rPr>
            </w:pPr>
            <w:r w:rsidRPr="000F2FFE">
              <w:rPr>
                <w:rFonts w:ascii="Arial" w:hAnsi="Arial"/>
              </w:rPr>
              <w:t>Ingo Simonis</w:t>
            </w:r>
          </w:p>
        </w:tc>
        <w:tc>
          <w:tcPr>
            <w:tcW w:w="1525" w:type="dxa"/>
            <w:tcBorders>
              <w:top w:val="single" w:sz="4" w:space="0" w:color="auto"/>
              <w:left w:val="single" w:sz="4" w:space="0" w:color="auto"/>
              <w:bottom w:val="single" w:sz="4" w:space="0" w:color="auto"/>
              <w:right w:val="single" w:sz="4" w:space="0" w:color="auto"/>
            </w:tcBorders>
          </w:tcPr>
          <w:p w14:paraId="0CC65718" w14:textId="0F2E4A5A" w:rsidR="001B74CA" w:rsidRPr="000F2FFE" w:rsidRDefault="001B74CA" w:rsidP="001B74CA">
            <w:pPr>
              <w:pStyle w:val="OGCtabletext"/>
              <w:rPr>
                <w:rFonts w:ascii="Arial" w:hAnsi="Arial"/>
              </w:rPr>
            </w:pPr>
            <w:r w:rsidRPr="000F2FFE">
              <w:rPr>
                <w:rFonts w:ascii="Arial" w:hAnsi="Arial"/>
              </w:rPr>
              <w:t>All</w:t>
            </w:r>
          </w:p>
        </w:tc>
        <w:tc>
          <w:tcPr>
            <w:tcW w:w="3250" w:type="dxa"/>
            <w:tcBorders>
              <w:top w:val="single" w:sz="4" w:space="0" w:color="auto"/>
              <w:left w:val="single" w:sz="4" w:space="0" w:color="auto"/>
              <w:bottom w:val="single" w:sz="4" w:space="0" w:color="auto"/>
              <w:right w:val="single" w:sz="4" w:space="0" w:color="auto"/>
            </w:tcBorders>
          </w:tcPr>
          <w:p w14:paraId="3007EFF6" w14:textId="7DE70E32" w:rsidR="001B74CA" w:rsidRPr="000F2FFE" w:rsidRDefault="001B74CA" w:rsidP="001B74CA">
            <w:pPr>
              <w:pStyle w:val="OGCtabletext"/>
              <w:rPr>
                <w:rFonts w:ascii="Arial" w:hAnsi="Arial"/>
              </w:rPr>
            </w:pPr>
            <w:r w:rsidRPr="000F2FFE">
              <w:rPr>
                <w:rFonts w:ascii="Arial" w:hAnsi="Arial"/>
              </w:rPr>
              <w:t>Comments integrated</w:t>
            </w:r>
          </w:p>
        </w:tc>
      </w:tr>
      <w:tr w:rsidR="001B74CA" w:rsidRPr="000F2FFE" w14:paraId="2DF36052" w14:textId="77777777" w:rsidTr="001B74CA">
        <w:tc>
          <w:tcPr>
            <w:tcW w:w="1353" w:type="dxa"/>
            <w:tcBorders>
              <w:top w:val="single" w:sz="4" w:space="0" w:color="auto"/>
              <w:left w:val="single" w:sz="4" w:space="0" w:color="auto"/>
              <w:bottom w:val="single" w:sz="4" w:space="0" w:color="auto"/>
              <w:right w:val="single" w:sz="4" w:space="0" w:color="auto"/>
            </w:tcBorders>
          </w:tcPr>
          <w:p w14:paraId="5410D8F6" w14:textId="2D5D3B96" w:rsidR="001B74CA" w:rsidRPr="000F2FFE" w:rsidRDefault="00185EEB" w:rsidP="001B74CA">
            <w:pPr>
              <w:pStyle w:val="OGCtabletext"/>
              <w:rPr>
                <w:rFonts w:ascii="Arial" w:hAnsi="Arial"/>
              </w:rPr>
            </w:pPr>
            <w:r w:rsidRPr="000F2FFE">
              <w:rPr>
                <w:rFonts w:ascii="Arial" w:hAnsi="Arial"/>
              </w:rPr>
              <w:t>2015-03-25</w:t>
            </w:r>
          </w:p>
        </w:tc>
        <w:tc>
          <w:tcPr>
            <w:tcW w:w="884" w:type="dxa"/>
            <w:tcBorders>
              <w:top w:val="single" w:sz="4" w:space="0" w:color="auto"/>
              <w:left w:val="single" w:sz="4" w:space="0" w:color="auto"/>
              <w:bottom w:val="single" w:sz="4" w:space="0" w:color="auto"/>
              <w:right w:val="single" w:sz="4" w:space="0" w:color="auto"/>
            </w:tcBorders>
          </w:tcPr>
          <w:p w14:paraId="25602624" w14:textId="6CC3ABF4" w:rsidR="001B74CA" w:rsidRPr="000F2FFE" w:rsidRDefault="00185EEB" w:rsidP="001B74CA">
            <w:pPr>
              <w:pStyle w:val="OGCtabletext"/>
              <w:rPr>
                <w:rFonts w:ascii="Arial" w:hAnsi="Arial"/>
              </w:rPr>
            </w:pPr>
            <w:r w:rsidRPr="000F2FFE">
              <w:rPr>
                <w:rFonts w:ascii="Arial" w:hAnsi="Arial"/>
              </w:rPr>
              <w:t>1.1</w:t>
            </w:r>
          </w:p>
        </w:tc>
        <w:tc>
          <w:tcPr>
            <w:tcW w:w="1710" w:type="dxa"/>
            <w:tcBorders>
              <w:top w:val="single" w:sz="4" w:space="0" w:color="auto"/>
              <w:left w:val="single" w:sz="4" w:space="0" w:color="auto"/>
              <w:bottom w:val="single" w:sz="4" w:space="0" w:color="auto"/>
              <w:right w:val="single" w:sz="4" w:space="0" w:color="auto"/>
            </w:tcBorders>
          </w:tcPr>
          <w:p w14:paraId="74A40592" w14:textId="29A88DE7" w:rsidR="001B74CA" w:rsidRPr="000F2FFE" w:rsidRDefault="00185EEB" w:rsidP="001B74CA">
            <w:pPr>
              <w:pStyle w:val="OGCtabletext"/>
              <w:rPr>
                <w:rFonts w:ascii="Arial" w:hAnsi="Arial"/>
              </w:rPr>
            </w:pPr>
            <w:r w:rsidRPr="000F2FFE">
              <w:rPr>
                <w:rFonts w:ascii="Arial" w:hAnsi="Arial"/>
              </w:rPr>
              <w:t>Ingo Simonis</w:t>
            </w:r>
          </w:p>
        </w:tc>
        <w:tc>
          <w:tcPr>
            <w:tcW w:w="1525" w:type="dxa"/>
            <w:tcBorders>
              <w:top w:val="single" w:sz="4" w:space="0" w:color="auto"/>
              <w:left w:val="single" w:sz="4" w:space="0" w:color="auto"/>
              <w:bottom w:val="single" w:sz="4" w:space="0" w:color="auto"/>
              <w:right w:val="single" w:sz="4" w:space="0" w:color="auto"/>
            </w:tcBorders>
          </w:tcPr>
          <w:p w14:paraId="5376B1B7" w14:textId="42589DE0" w:rsidR="001B74CA" w:rsidRPr="000F2FFE" w:rsidRDefault="00185EEB" w:rsidP="001B74CA">
            <w:pPr>
              <w:pStyle w:val="OGCtabletext"/>
              <w:rPr>
                <w:rFonts w:ascii="Arial" w:hAnsi="Arial"/>
              </w:rPr>
            </w:pPr>
            <w:r w:rsidRPr="000F2FFE">
              <w:rPr>
                <w:rFonts w:ascii="Arial" w:hAnsi="Arial"/>
              </w:rPr>
              <w:t>All</w:t>
            </w:r>
          </w:p>
        </w:tc>
        <w:tc>
          <w:tcPr>
            <w:tcW w:w="3250" w:type="dxa"/>
            <w:tcBorders>
              <w:top w:val="single" w:sz="4" w:space="0" w:color="auto"/>
              <w:left w:val="single" w:sz="4" w:space="0" w:color="auto"/>
              <w:bottom w:val="single" w:sz="4" w:space="0" w:color="auto"/>
              <w:right w:val="single" w:sz="4" w:space="0" w:color="auto"/>
            </w:tcBorders>
          </w:tcPr>
          <w:p w14:paraId="0B8CA71B" w14:textId="5CAD74BD" w:rsidR="001B74CA" w:rsidRPr="000F2FFE" w:rsidRDefault="00185EEB" w:rsidP="001B74CA">
            <w:pPr>
              <w:pStyle w:val="OGCtabletext"/>
              <w:rPr>
                <w:rFonts w:ascii="Arial" w:hAnsi="Arial"/>
              </w:rPr>
            </w:pPr>
            <w:r w:rsidRPr="000F2FFE">
              <w:rPr>
                <w:rFonts w:ascii="Arial" w:hAnsi="Arial"/>
              </w:rPr>
              <w:t>Final version 15-021r1</w:t>
            </w:r>
          </w:p>
        </w:tc>
      </w:tr>
      <w:tr w:rsidR="001B74CA" w:rsidRPr="000F2FFE" w14:paraId="31C78EBD" w14:textId="77777777" w:rsidTr="001B74CA">
        <w:tc>
          <w:tcPr>
            <w:tcW w:w="1353" w:type="dxa"/>
            <w:tcBorders>
              <w:top w:val="single" w:sz="4" w:space="0" w:color="auto"/>
              <w:left w:val="single" w:sz="4" w:space="0" w:color="auto"/>
              <w:bottom w:val="single" w:sz="4" w:space="0" w:color="auto"/>
              <w:right w:val="single" w:sz="4" w:space="0" w:color="auto"/>
            </w:tcBorders>
          </w:tcPr>
          <w:p w14:paraId="59DA48F4" w14:textId="77777777" w:rsidR="001B74CA" w:rsidRPr="000F2FFE" w:rsidRDefault="001B74CA" w:rsidP="001B74CA">
            <w:pPr>
              <w:pStyle w:val="OGCtabletext"/>
              <w:rPr>
                <w:rFonts w:ascii="Arial" w:hAnsi="Arial"/>
              </w:rPr>
            </w:pPr>
          </w:p>
        </w:tc>
        <w:tc>
          <w:tcPr>
            <w:tcW w:w="884" w:type="dxa"/>
            <w:tcBorders>
              <w:top w:val="single" w:sz="4" w:space="0" w:color="auto"/>
              <w:left w:val="single" w:sz="4" w:space="0" w:color="auto"/>
              <w:bottom w:val="single" w:sz="4" w:space="0" w:color="auto"/>
              <w:right w:val="single" w:sz="4" w:space="0" w:color="auto"/>
            </w:tcBorders>
          </w:tcPr>
          <w:p w14:paraId="262D90FC" w14:textId="77777777" w:rsidR="001B74CA" w:rsidRPr="000F2FFE" w:rsidRDefault="001B74CA" w:rsidP="001B74CA">
            <w:pPr>
              <w:pStyle w:val="OGCtabletext"/>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14:paraId="3D1FCCF1" w14:textId="77777777" w:rsidR="001B74CA" w:rsidRPr="000F2FFE" w:rsidRDefault="001B74CA" w:rsidP="001B74CA">
            <w:pPr>
              <w:pStyle w:val="OGCtabletext"/>
              <w:rPr>
                <w:rFonts w:ascii="Arial" w:hAnsi="Arial"/>
              </w:rPr>
            </w:pPr>
          </w:p>
        </w:tc>
        <w:tc>
          <w:tcPr>
            <w:tcW w:w="1525" w:type="dxa"/>
            <w:tcBorders>
              <w:top w:val="single" w:sz="4" w:space="0" w:color="auto"/>
              <w:left w:val="single" w:sz="4" w:space="0" w:color="auto"/>
              <w:bottom w:val="single" w:sz="4" w:space="0" w:color="auto"/>
              <w:right w:val="single" w:sz="4" w:space="0" w:color="auto"/>
            </w:tcBorders>
          </w:tcPr>
          <w:p w14:paraId="080618A3" w14:textId="77777777" w:rsidR="001B74CA" w:rsidRPr="000F2FFE" w:rsidRDefault="001B74CA" w:rsidP="001B74CA">
            <w:pPr>
              <w:pStyle w:val="OGCtabletext"/>
              <w:rPr>
                <w:rFonts w:ascii="Arial" w:hAnsi="Arial"/>
              </w:rPr>
            </w:pPr>
          </w:p>
        </w:tc>
        <w:tc>
          <w:tcPr>
            <w:tcW w:w="3250" w:type="dxa"/>
            <w:tcBorders>
              <w:top w:val="single" w:sz="4" w:space="0" w:color="auto"/>
              <w:left w:val="single" w:sz="4" w:space="0" w:color="auto"/>
              <w:bottom w:val="single" w:sz="4" w:space="0" w:color="auto"/>
              <w:right w:val="single" w:sz="4" w:space="0" w:color="auto"/>
            </w:tcBorders>
          </w:tcPr>
          <w:p w14:paraId="6CEBEBF2" w14:textId="77777777" w:rsidR="001B74CA" w:rsidRPr="000F2FFE" w:rsidRDefault="001B74CA" w:rsidP="001B74CA">
            <w:pPr>
              <w:pStyle w:val="OGCtabletext"/>
              <w:rPr>
                <w:rFonts w:ascii="Arial" w:hAnsi="Arial"/>
              </w:rPr>
            </w:pPr>
          </w:p>
        </w:tc>
      </w:tr>
      <w:tr w:rsidR="00CD5D6F" w:rsidRPr="000F2FFE" w14:paraId="1E076ED4" w14:textId="77777777" w:rsidTr="001B74CA">
        <w:tc>
          <w:tcPr>
            <w:tcW w:w="1353" w:type="dxa"/>
            <w:tcBorders>
              <w:left w:val="single" w:sz="1" w:space="0" w:color="000000"/>
              <w:bottom w:val="single" w:sz="1" w:space="0" w:color="000000"/>
            </w:tcBorders>
          </w:tcPr>
          <w:p w14:paraId="16E0843C" w14:textId="6788A9CB" w:rsidR="00CD5D6F" w:rsidRPr="000F2FFE" w:rsidRDefault="00CD5D6F" w:rsidP="001B74CA">
            <w:pPr>
              <w:pStyle w:val="OGCtabletext"/>
              <w:rPr>
                <w:rFonts w:ascii="Arial" w:hAnsi="Arial"/>
              </w:rPr>
            </w:pPr>
          </w:p>
        </w:tc>
        <w:tc>
          <w:tcPr>
            <w:tcW w:w="884" w:type="dxa"/>
            <w:tcBorders>
              <w:left w:val="single" w:sz="1" w:space="0" w:color="000000"/>
              <w:bottom w:val="single" w:sz="1" w:space="0" w:color="000000"/>
            </w:tcBorders>
          </w:tcPr>
          <w:p w14:paraId="3E3DA26D" w14:textId="041CFFA9" w:rsidR="00CD5D6F" w:rsidRPr="000F2FFE" w:rsidRDefault="00CD5D6F" w:rsidP="001B74CA">
            <w:pPr>
              <w:pStyle w:val="OGCtabletext"/>
              <w:rPr>
                <w:rFonts w:ascii="Arial" w:hAnsi="Arial"/>
              </w:rPr>
            </w:pPr>
          </w:p>
        </w:tc>
        <w:tc>
          <w:tcPr>
            <w:tcW w:w="1710" w:type="dxa"/>
            <w:tcBorders>
              <w:left w:val="single" w:sz="1" w:space="0" w:color="000000"/>
              <w:bottom w:val="single" w:sz="1" w:space="0" w:color="000000"/>
            </w:tcBorders>
          </w:tcPr>
          <w:p w14:paraId="5D8D0504" w14:textId="527C42D6" w:rsidR="00CD5D6F" w:rsidRPr="000F2FFE" w:rsidRDefault="00CD5D6F" w:rsidP="001B74CA">
            <w:pPr>
              <w:pStyle w:val="OGCtabletext"/>
              <w:rPr>
                <w:rFonts w:ascii="Arial" w:hAnsi="Arial"/>
              </w:rPr>
            </w:pPr>
          </w:p>
        </w:tc>
        <w:tc>
          <w:tcPr>
            <w:tcW w:w="1525" w:type="dxa"/>
            <w:tcBorders>
              <w:left w:val="single" w:sz="1" w:space="0" w:color="000000"/>
              <w:bottom w:val="single" w:sz="1" w:space="0" w:color="000000"/>
            </w:tcBorders>
          </w:tcPr>
          <w:p w14:paraId="060646FE" w14:textId="7641B9A7" w:rsidR="00CD5D6F" w:rsidRPr="000F2FFE" w:rsidRDefault="00CD5D6F" w:rsidP="001B74CA">
            <w:pPr>
              <w:pStyle w:val="OGCtabletext"/>
              <w:rPr>
                <w:rFonts w:ascii="Arial" w:hAnsi="Arial"/>
              </w:rPr>
            </w:pPr>
          </w:p>
        </w:tc>
        <w:tc>
          <w:tcPr>
            <w:tcW w:w="3250" w:type="dxa"/>
            <w:tcBorders>
              <w:left w:val="single" w:sz="1" w:space="0" w:color="000000"/>
              <w:bottom w:val="single" w:sz="1" w:space="0" w:color="000000"/>
              <w:right w:val="single" w:sz="1" w:space="0" w:color="000000"/>
            </w:tcBorders>
          </w:tcPr>
          <w:p w14:paraId="39DE3E43" w14:textId="279ABC97" w:rsidR="00CD5D6F" w:rsidRPr="000F2FFE" w:rsidRDefault="00CD5D6F" w:rsidP="001B74CA">
            <w:pPr>
              <w:pStyle w:val="OGCtabletext"/>
              <w:rPr>
                <w:rFonts w:ascii="Arial" w:hAnsi="Arial"/>
              </w:rPr>
            </w:pPr>
          </w:p>
        </w:tc>
      </w:tr>
    </w:tbl>
    <w:p w14:paraId="1E33705E" w14:textId="77777777" w:rsidR="00CD5D6F" w:rsidRDefault="00CD5D6F" w:rsidP="00CD5D6F"/>
    <w:p w14:paraId="366A8637" w14:textId="77777777" w:rsidR="00CD5D6F" w:rsidRDefault="00CD5D6F" w:rsidP="00CD5D6F">
      <w:pPr>
        <w:pStyle w:val="Heading1"/>
        <w:sectPr w:rsidR="00CD5D6F" w:rsidSect="00CD5D6F">
          <w:footerReference w:type="default" r:id="rId9"/>
          <w:footerReference w:type="first" r:id="rId10"/>
          <w:pgSz w:w="12240" w:h="15840"/>
          <w:pgMar w:top="1440" w:right="1800" w:bottom="1440" w:left="1800" w:header="720" w:footer="720" w:gutter="0"/>
          <w:pgNumType w:fmt="lowerRoman" w:start="1"/>
          <w:cols w:space="720"/>
        </w:sectPr>
      </w:pPr>
    </w:p>
    <w:p w14:paraId="71594808" w14:textId="4BA0D4B5" w:rsidR="006C2620" w:rsidRDefault="00A3602C" w:rsidP="00CD5D6F">
      <w:pPr>
        <w:pStyle w:val="Title"/>
        <w:contextualSpacing w:val="0"/>
      </w:pPr>
      <w:r>
        <w:lastRenderedPageBreak/>
        <w:t xml:space="preserve">OGC </w:t>
      </w:r>
      <w:r w:rsidR="00AA6F5F">
        <w:t>Engineering</w:t>
      </w:r>
      <w:r w:rsidR="001E04DB">
        <w:t xml:space="preserve"> </w:t>
      </w:r>
      <w:r>
        <w:t xml:space="preserve">Services </w:t>
      </w:r>
    </w:p>
    <w:p w14:paraId="2B693A5E" w14:textId="77777777" w:rsidR="006C2620" w:rsidRDefault="006C2620">
      <w:pPr>
        <w:pStyle w:val="Normal1"/>
      </w:pPr>
    </w:p>
    <w:p w14:paraId="7C4CA100" w14:textId="77777777" w:rsidR="006C2620" w:rsidRDefault="00A3602C">
      <w:pPr>
        <w:pStyle w:val="Heading1"/>
        <w:contextualSpacing w:val="0"/>
      </w:pPr>
      <w:bookmarkStart w:id="3" w:name="h.2e85zbmfibn" w:colFirst="0" w:colLast="0"/>
      <w:bookmarkStart w:id="4" w:name="_Toc300432773"/>
      <w:bookmarkEnd w:id="3"/>
      <w:r>
        <w:t>1 Introduction</w:t>
      </w:r>
      <w:bookmarkEnd w:id="4"/>
    </w:p>
    <w:p w14:paraId="2C14E93E" w14:textId="69C8CBA1" w:rsidR="002F0F9C" w:rsidRPr="002F0F9C" w:rsidRDefault="00B94ED7" w:rsidP="002F0F9C">
      <w:pPr>
        <w:widowControl w:val="0"/>
        <w:autoSpaceDE w:val="0"/>
        <w:autoSpaceDN w:val="0"/>
        <w:adjustRightInd w:val="0"/>
        <w:spacing w:line="240" w:lineRule="auto"/>
        <w:rPr>
          <w:szCs w:val="22"/>
        </w:rPr>
      </w:pPr>
      <w:r>
        <w:t>This document is part of the Interoperability Program policies and procedures</w:t>
      </w:r>
      <w:r w:rsidRPr="002F0F9C">
        <w:rPr>
          <w:szCs w:val="22"/>
        </w:rPr>
        <w:t xml:space="preserve">. </w:t>
      </w:r>
      <w:r w:rsidR="002F0F9C" w:rsidRPr="002F0F9C">
        <w:rPr>
          <w:color w:val="0E0E0E"/>
          <w:szCs w:val="22"/>
        </w:rPr>
        <w:t>An overview of the OGC Interoperability Program is provided in document</w:t>
      </w:r>
      <w:r w:rsidR="002F0F9C">
        <w:rPr>
          <w:color w:val="0E0E0E"/>
          <w:szCs w:val="22"/>
        </w:rPr>
        <w:t xml:space="preserve"> “</w:t>
      </w:r>
      <w:hyperlink r:id="rId11" w:history="1">
        <w:r w:rsidR="002F0F9C" w:rsidRPr="002F0F9C">
          <w:rPr>
            <w:color w:val="3C5C9B"/>
            <w:szCs w:val="22"/>
          </w:rPr>
          <w:t>The OGC Interoperability Program</w:t>
        </w:r>
      </w:hyperlink>
      <w:r w:rsidR="002F0F9C">
        <w:rPr>
          <w:color w:val="0E0E0E"/>
          <w:szCs w:val="22"/>
        </w:rPr>
        <w:t xml:space="preserve">” </w:t>
      </w:r>
      <w:r w:rsidR="002F0F9C" w:rsidRPr="002F0F9C">
        <w:rPr>
          <w:color w:val="0E0E0E"/>
          <w:szCs w:val="22"/>
        </w:rPr>
        <w:t>(05-127r7)</w:t>
      </w:r>
      <w:r w:rsidR="002F0F9C">
        <w:rPr>
          <w:color w:val="0E0E0E"/>
          <w:szCs w:val="22"/>
        </w:rPr>
        <w:t xml:space="preserve">. </w:t>
      </w:r>
      <w:r w:rsidR="003B5ED3">
        <w:rPr>
          <w:szCs w:val="22"/>
        </w:rPr>
        <w:t xml:space="preserve">Following an orthogonal approach, this document defines </w:t>
      </w:r>
      <w:r w:rsidR="0063042E">
        <w:rPr>
          <w:szCs w:val="22"/>
        </w:rPr>
        <w:t>Engineering</w:t>
      </w:r>
      <w:r w:rsidR="001E04DB">
        <w:rPr>
          <w:szCs w:val="22"/>
        </w:rPr>
        <w:t xml:space="preserve"> Services</w:t>
      </w:r>
      <w:r w:rsidR="003B5ED3">
        <w:rPr>
          <w:szCs w:val="22"/>
        </w:rPr>
        <w:t xml:space="preserve"> offered by OGC, which </w:t>
      </w:r>
      <w:r w:rsidR="00C97B27">
        <w:rPr>
          <w:szCs w:val="22"/>
        </w:rPr>
        <w:t>can</w:t>
      </w:r>
      <w:r w:rsidR="003B5ED3">
        <w:rPr>
          <w:szCs w:val="22"/>
        </w:rPr>
        <w:t xml:space="preserve"> instantiated through different types of activities and initiatives</w:t>
      </w:r>
      <w:r w:rsidR="00C97B27">
        <w:rPr>
          <w:szCs w:val="22"/>
        </w:rPr>
        <w:t xml:space="preserve">. In addition to the activities defined in this document, the following documents discuss policies and procedures for other Interoperability Program activities: </w:t>
      </w:r>
    </w:p>
    <w:p w14:paraId="3944BDE6" w14:textId="77777777" w:rsidR="002F0F9C" w:rsidRPr="002F0F9C" w:rsidRDefault="002F0F9C" w:rsidP="002F0F9C">
      <w:pPr>
        <w:pStyle w:val="ListParagraph"/>
        <w:widowControl w:val="0"/>
        <w:numPr>
          <w:ilvl w:val="0"/>
          <w:numId w:val="5"/>
        </w:numPr>
        <w:autoSpaceDE w:val="0"/>
        <w:autoSpaceDN w:val="0"/>
        <w:adjustRightInd w:val="0"/>
        <w:spacing w:line="240" w:lineRule="auto"/>
        <w:rPr>
          <w:szCs w:val="22"/>
        </w:rPr>
      </w:pPr>
      <w:r w:rsidRPr="002F0F9C">
        <w:rPr>
          <w:szCs w:val="22"/>
        </w:rPr>
        <w:t>OGC-IP Concept Development Policies and Procedures (05-128r1)</w:t>
      </w:r>
    </w:p>
    <w:p w14:paraId="1D35FA3F" w14:textId="77777777" w:rsidR="002F0F9C" w:rsidRPr="002F0F9C" w:rsidRDefault="002F0F9C" w:rsidP="002F0F9C">
      <w:pPr>
        <w:pStyle w:val="ListParagraph"/>
        <w:widowControl w:val="0"/>
        <w:numPr>
          <w:ilvl w:val="0"/>
          <w:numId w:val="5"/>
        </w:numPr>
        <w:autoSpaceDE w:val="0"/>
        <w:autoSpaceDN w:val="0"/>
        <w:adjustRightInd w:val="0"/>
        <w:spacing w:line="240" w:lineRule="auto"/>
        <w:rPr>
          <w:szCs w:val="22"/>
        </w:rPr>
      </w:pPr>
      <w:r w:rsidRPr="002F0F9C">
        <w:rPr>
          <w:szCs w:val="22"/>
        </w:rPr>
        <w:t xml:space="preserve">OGC Interoperability </w:t>
      </w:r>
      <w:proofErr w:type="spellStart"/>
      <w:r w:rsidRPr="002F0F9C">
        <w:rPr>
          <w:szCs w:val="22"/>
        </w:rPr>
        <w:t>Testbed</w:t>
      </w:r>
      <w:proofErr w:type="spellEnd"/>
      <w:r w:rsidRPr="002F0F9C">
        <w:rPr>
          <w:szCs w:val="22"/>
        </w:rPr>
        <w:t xml:space="preserve"> Policies and Procedures (05-129r1)</w:t>
      </w:r>
    </w:p>
    <w:p w14:paraId="3ACE069F" w14:textId="77777777" w:rsidR="002F0F9C" w:rsidRPr="002F0F9C" w:rsidRDefault="002F0F9C" w:rsidP="002F0F9C">
      <w:pPr>
        <w:pStyle w:val="ListParagraph"/>
        <w:widowControl w:val="0"/>
        <w:numPr>
          <w:ilvl w:val="0"/>
          <w:numId w:val="5"/>
        </w:numPr>
        <w:autoSpaceDE w:val="0"/>
        <w:autoSpaceDN w:val="0"/>
        <w:adjustRightInd w:val="0"/>
        <w:spacing w:line="240" w:lineRule="auto"/>
        <w:rPr>
          <w:szCs w:val="22"/>
        </w:rPr>
      </w:pPr>
      <w:r w:rsidRPr="002F0F9C">
        <w:rPr>
          <w:szCs w:val="22"/>
        </w:rPr>
        <w:t>OGC Interoperability Experiment Policies and Procedures (05-130r3)</w:t>
      </w:r>
    </w:p>
    <w:p w14:paraId="0CE0E366" w14:textId="77777777" w:rsidR="002F0F9C" w:rsidRPr="002F0F9C" w:rsidRDefault="002F0F9C" w:rsidP="002F0F9C">
      <w:pPr>
        <w:pStyle w:val="ListParagraph"/>
        <w:widowControl w:val="0"/>
        <w:numPr>
          <w:ilvl w:val="0"/>
          <w:numId w:val="5"/>
        </w:numPr>
        <w:autoSpaceDE w:val="0"/>
        <w:autoSpaceDN w:val="0"/>
        <w:adjustRightInd w:val="0"/>
        <w:spacing w:line="240" w:lineRule="auto"/>
        <w:rPr>
          <w:szCs w:val="22"/>
        </w:rPr>
      </w:pPr>
      <w:r w:rsidRPr="002F0F9C">
        <w:rPr>
          <w:szCs w:val="22"/>
        </w:rPr>
        <w:t>OGC Interoperability Pilot Policies and Procedures (05-131r1)</w:t>
      </w:r>
    </w:p>
    <w:p w14:paraId="2BAA90AF" w14:textId="2A80672B" w:rsidR="002F0F9C" w:rsidRPr="002F0F9C" w:rsidRDefault="002F0F9C" w:rsidP="002F0F9C">
      <w:pPr>
        <w:pStyle w:val="ListParagraph"/>
        <w:widowControl w:val="0"/>
        <w:numPr>
          <w:ilvl w:val="0"/>
          <w:numId w:val="5"/>
        </w:numPr>
        <w:autoSpaceDE w:val="0"/>
        <w:autoSpaceDN w:val="0"/>
        <w:adjustRightInd w:val="0"/>
        <w:spacing w:line="240" w:lineRule="auto"/>
        <w:rPr>
          <w:szCs w:val="22"/>
        </w:rPr>
      </w:pPr>
      <w:r w:rsidRPr="002F0F9C">
        <w:rPr>
          <w:szCs w:val="22"/>
        </w:rPr>
        <w:t>OGC Networks Policies and Procedures (05-132r1)</w:t>
      </w:r>
    </w:p>
    <w:p w14:paraId="22C986F2" w14:textId="65655523" w:rsidR="006C2620" w:rsidRDefault="006311D7" w:rsidP="00E870AF">
      <w:r>
        <w:t>The services defined in this document are offered by</w:t>
      </w:r>
      <w:r w:rsidR="00A3602C">
        <w:t xml:space="preserve"> OGC</w:t>
      </w:r>
      <w:r w:rsidR="00A3602C">
        <w:rPr>
          <w:vertAlign w:val="superscript"/>
        </w:rPr>
        <w:footnoteReference w:id="1"/>
      </w:r>
      <w:r w:rsidR="00A3602C">
        <w:t xml:space="preserve">. In principle, </w:t>
      </w:r>
      <w:r>
        <w:t>the</w:t>
      </w:r>
      <w:r w:rsidR="00A3602C">
        <w:t xml:space="preserve"> services serve two main purposes: First, </w:t>
      </w:r>
      <w:r w:rsidR="00B94ED7">
        <w:t>innovation accelerators for OGC specifications</w:t>
      </w:r>
      <w:r w:rsidR="00A3602C">
        <w:t>, and second</w:t>
      </w:r>
      <w:r w:rsidR="00614865">
        <w:t xml:space="preserve"> to catalyze adoption by other organizations with the goal </w:t>
      </w:r>
      <w:r w:rsidR="003B5ED3">
        <w:t>to improve understanding and use of OGC standards and technologies</w:t>
      </w:r>
      <w:r w:rsidR="002727ED">
        <w:t xml:space="preserve"> and increased demand for products offered by OGC member organizations</w:t>
      </w:r>
      <w:r w:rsidR="00A3602C">
        <w:t>.</w:t>
      </w:r>
      <w:r w:rsidR="002727ED">
        <w:t xml:space="preserve"> </w:t>
      </w:r>
      <w:r w:rsidR="00A3602C">
        <w:t xml:space="preserve">The </w:t>
      </w:r>
      <w:r w:rsidR="003B5ED3">
        <w:t xml:space="preserve">first </w:t>
      </w:r>
      <w:r w:rsidR="00AA6F5F">
        <w:t>supports the development of OGC standards and technologies and includes</w:t>
      </w:r>
      <w:r w:rsidR="00A3602C">
        <w:t xml:space="preserve"> dissemination and exploitation activities.</w:t>
      </w:r>
      <w:r w:rsidR="003B5ED3" w:rsidRPr="003B5ED3">
        <w:t xml:space="preserve"> </w:t>
      </w:r>
      <w:r w:rsidR="003B5ED3">
        <w:t xml:space="preserve">The latter help other organizations to optimize their business directly by offering customized </w:t>
      </w:r>
      <w:r>
        <w:t>consultancy</w:t>
      </w:r>
      <w:r w:rsidR="003B5ED3">
        <w:t xml:space="preserve"> services. </w:t>
      </w:r>
      <w:r w:rsidR="00A91863">
        <w:t>The purpose of this policy is to further the use of OGC standards and benefit the OGC membership.</w:t>
      </w:r>
    </w:p>
    <w:p w14:paraId="284AB4D4" w14:textId="54E34A07" w:rsidR="006C2620" w:rsidRDefault="00A3602C" w:rsidP="00E870AF">
      <w:r>
        <w:t xml:space="preserve">All services are clearly defined in subsequent chapters. Each chapter includes a detailed description of the services types, general principles of operation, and a section on potential risks and opportunities. The services discussion is complemented with an orthogonal roles discussion, which describes the various roles OGC can play. </w:t>
      </w:r>
      <w:r w:rsidR="00A75E7D">
        <w:t>Chapter 3</w:t>
      </w:r>
      <w:r w:rsidR="00A75E7D" w:rsidRPr="00A75E7D">
        <w:t xml:space="preserve"> of this document details OGC principles of operation designed to best advance OGC standards and compliment our members’ activities.</w:t>
      </w:r>
    </w:p>
    <w:p w14:paraId="5507E45C" w14:textId="75E77202" w:rsidR="006C2620" w:rsidRDefault="00A3602C">
      <w:pPr>
        <w:pStyle w:val="Heading1"/>
        <w:spacing w:after="200"/>
        <w:contextualSpacing w:val="0"/>
      </w:pPr>
      <w:bookmarkStart w:id="5" w:name="h.hu160m6mobw" w:colFirst="0" w:colLast="0"/>
      <w:bookmarkStart w:id="6" w:name="_Toc300432774"/>
      <w:bookmarkEnd w:id="5"/>
      <w:r>
        <w:t xml:space="preserve">2 </w:t>
      </w:r>
      <w:r w:rsidR="0063042E">
        <w:t>Engineering</w:t>
      </w:r>
      <w:r w:rsidR="001E04DB">
        <w:t xml:space="preserve"> Services</w:t>
      </w:r>
      <w:bookmarkEnd w:id="6"/>
    </w:p>
    <w:p w14:paraId="6F7DC875" w14:textId="778440C9" w:rsidR="00D16F29" w:rsidRDefault="00A3602C" w:rsidP="00E870AF">
      <w:r>
        <w:t xml:space="preserve">As a voluntary consensus standards organization, the OGC is uniquely positioned to provide vendor and content neutral </w:t>
      </w:r>
      <w:r w:rsidR="002727ED">
        <w:t>services</w:t>
      </w:r>
      <w:r>
        <w:t xml:space="preserve"> to organizations that wish to implement open, standards-based technologies to address their business needs. OGC </w:t>
      </w:r>
      <w:r w:rsidR="0063042E">
        <w:t>Engineering</w:t>
      </w:r>
      <w:r w:rsidR="001E04DB">
        <w:t xml:space="preserve"> Services</w:t>
      </w:r>
      <w:r>
        <w:t xml:space="preserve"> can assist organizations in understanding how to apply the OGC interoperability framework, drawing upon the OGC Reference Model (ORM), the OGC Technical Baseline (OTB), and </w:t>
      </w:r>
      <w:r w:rsidR="00E260C8">
        <w:t>OGC Standards</w:t>
      </w:r>
      <w:r>
        <w:t xml:space="preserve">. </w:t>
      </w:r>
      <w:r w:rsidR="0063042E">
        <w:t>Engineering</w:t>
      </w:r>
      <w:r w:rsidR="001E04DB">
        <w:t xml:space="preserve"> Services</w:t>
      </w:r>
      <w:r w:rsidR="00D16F29">
        <w:t xml:space="preserve"> facilitate how an interoperability framework and/or architecture based on open standards can best fit any organization’s business needs. </w:t>
      </w:r>
    </w:p>
    <w:p w14:paraId="63AB9ECC" w14:textId="0278CDDA" w:rsidR="00D16F29" w:rsidRDefault="00A3602C" w:rsidP="00E870AF">
      <w:r>
        <w:lastRenderedPageBreak/>
        <w:t xml:space="preserve">It allows organizations to receive support in the business of evaluating latest technological trends, optimizing software architectures, setting up of large enterprise systems, or performing compliance tests. These services also help to stimulate demand for standards-based interoperable technologies offered by the OGC members and others in the technology marketplace. </w:t>
      </w:r>
    </w:p>
    <w:p w14:paraId="19AD2053" w14:textId="6276BE80" w:rsidR="006C2620" w:rsidRDefault="00A3602C" w:rsidP="00E870AF">
      <w:r>
        <w:t xml:space="preserve">At the same time, OGC interoperability </w:t>
      </w:r>
      <w:r w:rsidR="0063042E">
        <w:t>engineering</w:t>
      </w:r>
      <w:r>
        <w:t xml:space="preserve"> services ensure strong links with the standards program and serve as the innovation hub of OGC technologies and domain-specific and domain-independent specifications. </w:t>
      </w:r>
    </w:p>
    <w:p w14:paraId="21BDDF5B" w14:textId="14442888" w:rsidR="006C2620" w:rsidRDefault="00A3602C" w:rsidP="00E870AF">
      <w:r>
        <w:t>OGC works with the</w:t>
      </w:r>
      <w:r w:rsidR="00614865">
        <w:t xml:space="preserve"> </w:t>
      </w:r>
      <w:r w:rsidR="0063042E">
        <w:t>Engineering</w:t>
      </w:r>
      <w:r w:rsidR="00614865">
        <w:t xml:space="preserve"> Services customers</w:t>
      </w:r>
      <w:r>
        <w:t xml:space="preserve"> to position OGC standards and related best practices in the technology policy, development and acquisition programs.</w:t>
      </w:r>
    </w:p>
    <w:p w14:paraId="0C2E5950" w14:textId="77777777" w:rsidR="006C2620" w:rsidRDefault="00A3602C">
      <w:pPr>
        <w:pStyle w:val="Heading2"/>
        <w:spacing w:after="200"/>
        <w:contextualSpacing w:val="0"/>
      </w:pPr>
      <w:bookmarkStart w:id="7" w:name="h.7w4rqnzgcp0s" w:colFirst="0" w:colLast="0"/>
      <w:bookmarkStart w:id="8" w:name="_Toc300432704"/>
      <w:bookmarkStart w:id="9" w:name="_Toc300432775"/>
      <w:bookmarkEnd w:id="7"/>
      <w:r>
        <w:t>2.1 Service Types</w:t>
      </w:r>
      <w:bookmarkEnd w:id="8"/>
      <w:bookmarkEnd w:id="9"/>
    </w:p>
    <w:p w14:paraId="69250ED4" w14:textId="4E99B115" w:rsidR="006C2620" w:rsidRDefault="00D16F29" w:rsidP="00E870AF">
      <w:r>
        <w:t xml:space="preserve">The OGC </w:t>
      </w:r>
      <w:r w:rsidR="0063042E">
        <w:t xml:space="preserve">Engineering Services </w:t>
      </w:r>
      <w:r>
        <w:t xml:space="preserve">span a wide range of service types including administrative, organizational, research and development, and other consultancy services (e.g. on procurement language, compliance testing, legal aspects, etc.). The goals of those services are spread equally wide, from supporting OGC members to place their products on the market, to optimize an organization’s business by consulting on using interoperable architectures and products to improve and innovate OGC standards and technologies. </w:t>
      </w:r>
      <w:r w:rsidR="00A3602C">
        <w:t>They address the foundation of the OGC innovation process and serve at the same time as internal</w:t>
      </w:r>
      <w:r w:rsidR="007C191E">
        <w:t xml:space="preserve"> and external</w:t>
      </w:r>
      <w:r w:rsidR="00A3602C">
        <w:t xml:space="preserve"> huma</w:t>
      </w:r>
      <w:r w:rsidR="007C191E">
        <w:t>n capacity development services.</w:t>
      </w:r>
    </w:p>
    <w:p w14:paraId="4DB6C0C5" w14:textId="7D452656" w:rsidR="006C2620" w:rsidRDefault="00A3602C" w:rsidP="00E870AF">
      <w:r>
        <w:t xml:space="preserve">OGC specifications, in particular the non-abstract specifications, are subject to the typical rapid Internet innovation cycles. As new technologies, serialization models, tools, and (partly domain specific) best practices need to be incorporated into the OGC specification portfolio on a continuous basis, it is of overall importance that OGC is not only managing and accompanying these processes, but actively steering and supporting them. This is particularly important as a number of sponsors of OGC Interoperability Program activities request ideas on new development aspects or expect guidance on the exact definition of new work items. In addition, those </w:t>
      </w:r>
      <w:r w:rsidR="006E597B">
        <w:t>research-oriented</w:t>
      </w:r>
      <w:r>
        <w:t xml:space="preserve"> projects </w:t>
      </w:r>
      <w:r w:rsidR="00607E11">
        <w:t>represent</w:t>
      </w:r>
      <w:r>
        <w:t xml:space="preserve"> and implement a strong link between the interoperability program and the standards program. </w:t>
      </w:r>
    </w:p>
    <w:p w14:paraId="770E12AA" w14:textId="0F1592C4" w:rsidR="006C2620" w:rsidRDefault="00A3602C">
      <w:pPr>
        <w:pStyle w:val="Normal1"/>
        <w:spacing w:before="240" w:after="200"/>
      </w:pPr>
      <w:r>
        <w:t xml:space="preserve">The following types of Interoperability </w:t>
      </w:r>
      <w:r w:rsidR="0063042E">
        <w:t xml:space="preserve">Engineering Services </w:t>
      </w:r>
      <w:r>
        <w:t>are offered:</w:t>
      </w:r>
    </w:p>
    <w:p w14:paraId="71EF0070" w14:textId="17E2E513" w:rsidR="006C2620" w:rsidRDefault="00A3602C">
      <w:pPr>
        <w:pStyle w:val="Normal1"/>
        <w:numPr>
          <w:ilvl w:val="0"/>
          <w:numId w:val="3"/>
        </w:numPr>
        <w:spacing w:before="120" w:after="120"/>
        <w:ind w:hanging="359"/>
        <w:contextualSpacing/>
      </w:pPr>
      <w:r>
        <w:rPr>
          <w:b/>
          <w:i/>
        </w:rPr>
        <w:t>Assessment, Analysis, and Feasibility Support:</w:t>
      </w:r>
      <w:r>
        <w:t xml:space="preserve"> to include “As-Is” studies, requirements definition, business plans (including basic ROI statements related to the use of standards), use case modeling, analysis, </w:t>
      </w:r>
      <w:r w:rsidR="00EF1B14">
        <w:t xml:space="preserve">and </w:t>
      </w:r>
      <w:r>
        <w:t>procurement readiness assessments.  These services are focused on providing recommendations to reduce communication, processing and information distribution bottlenecks through application of standards and related best practices in technology policy, programs, procedures and acquisitions</w:t>
      </w:r>
      <w:r w:rsidR="001A16FA">
        <w:t xml:space="preserve"> of OGC-compliant products</w:t>
      </w:r>
      <w:r>
        <w:t xml:space="preserve">. </w:t>
      </w:r>
    </w:p>
    <w:p w14:paraId="78F0AC1D" w14:textId="3CE496F1" w:rsidR="006C2620" w:rsidRDefault="00A3602C">
      <w:pPr>
        <w:pStyle w:val="Normal1"/>
        <w:numPr>
          <w:ilvl w:val="0"/>
          <w:numId w:val="3"/>
        </w:numPr>
        <w:spacing w:before="120" w:after="120"/>
        <w:ind w:hanging="359"/>
        <w:contextualSpacing/>
      </w:pPr>
      <w:r>
        <w:rPr>
          <w:b/>
          <w:i/>
        </w:rPr>
        <w:t xml:space="preserve">Standards-based </w:t>
      </w:r>
      <w:r w:rsidR="00E21864">
        <w:rPr>
          <w:b/>
          <w:i/>
        </w:rPr>
        <w:t>r</w:t>
      </w:r>
      <w:r>
        <w:rPr>
          <w:b/>
          <w:i/>
        </w:rPr>
        <w:t>eference architecture design and documentation</w:t>
      </w:r>
      <w:r w:rsidR="00EF1B14" w:rsidRPr="00EF1B14">
        <w:rPr>
          <w:i/>
        </w:rPr>
        <w:t xml:space="preserve">: </w:t>
      </w:r>
      <w:r w:rsidR="00EF1B14" w:rsidRPr="000931F5">
        <w:t xml:space="preserve">These services </w:t>
      </w:r>
      <w:r w:rsidRPr="000931F5">
        <w:t>define the organizational environment for standards and results in recommended ste</w:t>
      </w:r>
      <w:r>
        <w:t>ps</w:t>
      </w:r>
      <w:r w:rsidR="00E21864">
        <w:t xml:space="preserve"> and well-defined profiles</w:t>
      </w:r>
      <w:r>
        <w:t xml:space="preserve"> needed to expand and sustain an organization’s interoperability capacity. </w:t>
      </w:r>
      <w:r w:rsidR="00E21864">
        <w:t>Employing a number of reference models and underlying methodologies (e.g.</w:t>
      </w:r>
      <w:r>
        <w:t xml:space="preserve"> </w:t>
      </w:r>
      <w:r>
        <w:lastRenderedPageBreak/>
        <w:t xml:space="preserve">RM-ODP </w:t>
      </w:r>
      <w:r w:rsidR="00E21864">
        <w:t>and</w:t>
      </w:r>
      <w:r>
        <w:t xml:space="preserve"> functional equivalent</w:t>
      </w:r>
      <w:r w:rsidR="00E21864">
        <w:t xml:space="preserve">s), OGC </w:t>
      </w:r>
      <w:r>
        <w:t>communicate</w:t>
      </w:r>
      <w:r w:rsidR="00E21864">
        <w:t>s</w:t>
      </w:r>
      <w:r>
        <w:t xml:space="preserve"> the Enterprise, Information, Engineering Technology and Computational viewpoints of recommended reference architecture.</w:t>
      </w:r>
    </w:p>
    <w:p w14:paraId="4407D63C" w14:textId="48E01E5A" w:rsidR="006C2620" w:rsidRDefault="00A3602C">
      <w:pPr>
        <w:pStyle w:val="Normal1"/>
        <w:numPr>
          <w:ilvl w:val="0"/>
          <w:numId w:val="3"/>
        </w:numPr>
        <w:spacing w:before="120" w:after="120"/>
        <w:ind w:hanging="359"/>
        <w:contextualSpacing/>
      </w:pPr>
      <w:r>
        <w:rPr>
          <w:b/>
          <w:i/>
        </w:rPr>
        <w:t>Operation and / or enhancement of OGC online compliance facilities and compliance evaluation</w:t>
      </w:r>
      <w:r w:rsidR="000931F5">
        <w:rPr>
          <w:b/>
          <w:i/>
        </w:rPr>
        <w:t>:</w:t>
      </w:r>
      <w:r>
        <w:rPr>
          <w:b/>
          <w:i/>
        </w:rPr>
        <w:t xml:space="preserve"> </w:t>
      </w:r>
      <w:r>
        <w:t>The</w:t>
      </w:r>
      <w:r w:rsidR="000931F5">
        <w:t>se</w:t>
      </w:r>
      <w:r>
        <w:t xml:space="preserve"> services offered as part of the compliance program help OGC members to optimize their </w:t>
      </w:r>
      <w:r w:rsidR="00BF24B5">
        <w:t>compliance-testing</w:t>
      </w:r>
      <w:r>
        <w:t xml:space="preserve"> environment and help detect compliance deficiencies within the organization or within the product portfolio of an organization.   </w:t>
      </w:r>
    </w:p>
    <w:p w14:paraId="7BB2A5D1" w14:textId="79FA9F72" w:rsidR="006C2620" w:rsidRDefault="00A3602C">
      <w:pPr>
        <w:pStyle w:val="Normal1"/>
        <w:numPr>
          <w:ilvl w:val="0"/>
          <w:numId w:val="3"/>
        </w:numPr>
        <w:spacing w:before="120" w:after="120"/>
        <w:ind w:hanging="359"/>
        <w:contextualSpacing/>
      </w:pPr>
      <w:r>
        <w:rPr>
          <w:b/>
          <w:i/>
        </w:rPr>
        <w:t>Education and Outreach</w:t>
      </w:r>
      <w:r w:rsidR="0008482E">
        <w:rPr>
          <w:b/>
          <w:i/>
        </w:rPr>
        <w:t>:</w:t>
      </w:r>
      <w:r w:rsidR="0008482E" w:rsidRPr="0008482E">
        <w:t xml:space="preserve"> These services </w:t>
      </w:r>
      <w:r w:rsidR="0008482E">
        <w:t>include</w:t>
      </w:r>
      <w:r>
        <w:t xml:space="preserve"> interoperability training for various target audiences, presentations and seminars at standards/interoperability conferences and symposiums, and support to public relations and communications programs related to the development and uptake of open standards.</w:t>
      </w:r>
    </w:p>
    <w:p w14:paraId="0F9043F5" w14:textId="50917465" w:rsidR="006C2620" w:rsidRPr="005F20EB" w:rsidRDefault="00A3602C" w:rsidP="005F20EB">
      <w:pPr>
        <w:pStyle w:val="Normal1"/>
        <w:numPr>
          <w:ilvl w:val="0"/>
          <w:numId w:val="3"/>
        </w:numPr>
        <w:spacing w:before="120" w:after="120"/>
        <w:ind w:hanging="359"/>
        <w:contextualSpacing/>
        <w:rPr>
          <w:b/>
          <w:i/>
        </w:rPr>
      </w:pPr>
      <w:r w:rsidRPr="005F20EB">
        <w:rPr>
          <w:b/>
          <w:i/>
        </w:rPr>
        <w:t>Innovation &amp; Research Services</w:t>
      </w:r>
      <w:r w:rsidR="000931F5">
        <w:rPr>
          <w:b/>
          <w:i/>
        </w:rPr>
        <w:t xml:space="preserve">. </w:t>
      </w:r>
      <w:r w:rsidR="000931F5" w:rsidRPr="000931F5">
        <w:t>These</w:t>
      </w:r>
      <w:r w:rsidR="000931F5">
        <w:rPr>
          <w:b/>
          <w:i/>
        </w:rPr>
        <w:t xml:space="preserve"> </w:t>
      </w:r>
      <w:r>
        <w:t xml:space="preserve">extend the </w:t>
      </w:r>
      <w:r w:rsidR="00BF24B5">
        <w:t>“</w:t>
      </w:r>
      <w:r>
        <w:t>Assessment, Analysis, and Feasibility Support services</w:t>
      </w:r>
      <w:r w:rsidR="00BF24B5">
        <w:t>”</w:t>
      </w:r>
      <w:r>
        <w:t xml:space="preserve"> listed above (1). They are implemented through direct participation in research and development programs with the goal to enhance t</w:t>
      </w:r>
      <w:r w:rsidR="00BF7046">
        <w:t>he</w:t>
      </w:r>
      <w:r>
        <w:t xml:space="preserve"> OGC technology baseline, experiment with new technologies, and position OGC as a</w:t>
      </w:r>
      <w:r w:rsidR="005F20EB">
        <w:t>n</w:t>
      </w:r>
      <w:r>
        <w:t xml:space="preserve"> innovation hub within the international research &amp; development community. </w:t>
      </w:r>
      <w:r w:rsidR="005F20EB">
        <w:t>These services help OGC members to develop sustainable products and ensure state of the art products for customers</w:t>
      </w:r>
      <w:r>
        <w:t xml:space="preserve">. </w:t>
      </w:r>
    </w:p>
    <w:p w14:paraId="4564D15F" w14:textId="77777777" w:rsidR="00472E10" w:rsidRDefault="00472E10">
      <w:pPr>
        <w:pStyle w:val="Heading2"/>
        <w:spacing w:after="200"/>
        <w:contextualSpacing w:val="0"/>
      </w:pPr>
      <w:bookmarkStart w:id="10" w:name="h.vlyw25j6i5gr" w:colFirst="0" w:colLast="0"/>
      <w:bookmarkEnd w:id="10"/>
    </w:p>
    <w:p w14:paraId="0753EB54" w14:textId="3C83F547" w:rsidR="006C2620" w:rsidRDefault="00A3602C">
      <w:pPr>
        <w:pStyle w:val="Heading2"/>
        <w:spacing w:after="200"/>
        <w:contextualSpacing w:val="0"/>
      </w:pPr>
      <w:bookmarkStart w:id="11" w:name="_Toc300432705"/>
      <w:bookmarkStart w:id="12" w:name="_Toc300432776"/>
      <w:r>
        <w:t xml:space="preserve">2.2 Service </w:t>
      </w:r>
      <w:r w:rsidR="00ED64C6">
        <w:t>Roles</w:t>
      </w:r>
      <w:bookmarkEnd w:id="11"/>
      <w:bookmarkEnd w:id="12"/>
    </w:p>
    <w:p w14:paraId="39779942" w14:textId="6DF0E0A5" w:rsidR="006C2620" w:rsidRDefault="00A3602C">
      <w:pPr>
        <w:pStyle w:val="Normal1"/>
        <w:spacing w:after="200"/>
      </w:pPr>
      <w:r>
        <w:t xml:space="preserve">The </w:t>
      </w:r>
      <w:r w:rsidR="00AA6F5F">
        <w:t>Engineering</w:t>
      </w:r>
      <w:r w:rsidR="001E04DB">
        <w:t xml:space="preserve"> Services</w:t>
      </w:r>
      <w:r>
        <w:t xml:space="preserve"> described above</w:t>
      </w:r>
      <w:r w:rsidR="00FD7C65">
        <w:t xml:space="preserve"> require a number of roles</w:t>
      </w:r>
      <w:r>
        <w:t>.</w:t>
      </w:r>
      <w:r w:rsidR="00C97B27">
        <w:t xml:space="preserve"> These roles can be applied to any type of activity discussed in this document or any other activity defined in the Interoperability Program documents listed above. </w:t>
      </w:r>
      <w:r w:rsidR="00AA6F5F">
        <w:t>Engineering</w:t>
      </w:r>
      <w:r w:rsidR="001E04DB">
        <w:t xml:space="preserve"> Services</w:t>
      </w:r>
      <w:r w:rsidR="00C97B27">
        <w:t xml:space="preserve"> are usually </w:t>
      </w:r>
      <w:r w:rsidR="00013917">
        <w:t>executed in individual projects, always with the goal to further the use of OGC standards and benefit the OGC membership.</w:t>
      </w:r>
      <w:r w:rsidR="00C97B27">
        <w:t xml:space="preserve"> </w:t>
      </w:r>
      <w:r>
        <w:t xml:space="preserve">A single project may make use of any number of </w:t>
      </w:r>
      <w:r w:rsidR="00C97B27">
        <w:t>ro</w:t>
      </w:r>
      <w:r>
        <w:t xml:space="preserve">les. Whereas traditional interoperability program activities such as </w:t>
      </w:r>
      <w:proofErr w:type="spellStart"/>
      <w:r>
        <w:t>Testbeds</w:t>
      </w:r>
      <w:proofErr w:type="spellEnd"/>
      <w:r>
        <w:t xml:space="preserve"> probably include all roles within a single project, other projects such as </w:t>
      </w:r>
      <w:r w:rsidR="00C97B27">
        <w:t>research &amp; development projects</w:t>
      </w:r>
      <w:r>
        <w:t xml:space="preserve"> might </w:t>
      </w:r>
      <w:r w:rsidR="00C97B27">
        <w:t xml:space="preserve">make use of </w:t>
      </w:r>
      <w:r>
        <w:t>one specific or a few roles</w:t>
      </w:r>
      <w:r w:rsidR="00C97B27" w:rsidRPr="00C97B27">
        <w:t xml:space="preserve"> </w:t>
      </w:r>
      <w:r w:rsidR="00C97B27">
        <w:t>only</w:t>
      </w:r>
      <w:r>
        <w:t xml:space="preserve">. </w:t>
      </w:r>
    </w:p>
    <w:p w14:paraId="3E9C6DB8" w14:textId="288C63B9" w:rsidR="00FD7C65" w:rsidRDefault="00FD7C65" w:rsidP="00FD7C65">
      <w:pPr>
        <w:pStyle w:val="Heading2"/>
        <w:spacing w:after="200"/>
        <w:contextualSpacing w:val="0"/>
        <w:rPr>
          <w:sz w:val="24"/>
        </w:rPr>
      </w:pPr>
      <w:bookmarkStart w:id="13" w:name="_Toc300432706"/>
      <w:bookmarkStart w:id="14" w:name="_Toc300432777"/>
      <w:r w:rsidRPr="00FD7C65">
        <w:rPr>
          <w:sz w:val="24"/>
        </w:rPr>
        <w:t>2.2.1 Project Coordination</w:t>
      </w:r>
      <w:bookmarkEnd w:id="13"/>
      <w:bookmarkEnd w:id="14"/>
    </w:p>
    <w:p w14:paraId="2B97825E" w14:textId="5110A7AF" w:rsidR="00622B15" w:rsidRDefault="00A3602C" w:rsidP="00E870AF">
      <w:r>
        <w:t xml:space="preserve">OGC coordinates the project as official project coordinator. </w:t>
      </w:r>
      <w:r w:rsidR="00FD7C65">
        <w:t xml:space="preserve">OGC may decide to act as project coordinator on its own initiative, or can be approached by any OGC member to take on this role for any type of project activity. </w:t>
      </w:r>
      <w:r w:rsidR="00014CC3">
        <w:t>OGC is responsible to cover all aspects of project coordination</w:t>
      </w:r>
      <w:r w:rsidR="00622B15">
        <w:t>. In addition, OGC offers services such as letter requests to OGC members. Those letter requests can be issued for various purposes, e.g. to find additional members to form project consortia when rep</w:t>
      </w:r>
      <w:r w:rsidR="00014CC3">
        <w:t>lying to</w:t>
      </w:r>
      <w:r w:rsidR="00622B15">
        <w:t xml:space="preserve"> open tenders or to identify participating organiz</w:t>
      </w:r>
      <w:r w:rsidR="00014CC3">
        <w:t>ations in OGC activities</w:t>
      </w:r>
      <w:r w:rsidR="00E870AF">
        <w:t xml:space="preserve"> such as </w:t>
      </w:r>
      <w:proofErr w:type="spellStart"/>
      <w:r w:rsidR="00E870AF">
        <w:t>testbeds</w:t>
      </w:r>
      <w:proofErr w:type="spellEnd"/>
      <w:r w:rsidR="00E870AF">
        <w:t xml:space="preserve"> or pilots</w:t>
      </w:r>
      <w:r w:rsidR="00014CC3">
        <w:t xml:space="preserve">. </w:t>
      </w:r>
      <w:r w:rsidR="00886325">
        <w:t>The OGC reserves the right to select organizations responding to letter requests based on clearly defined and published criteria.</w:t>
      </w:r>
    </w:p>
    <w:p w14:paraId="60DECD1A" w14:textId="77777777" w:rsidR="009B241B" w:rsidRDefault="00A3602C" w:rsidP="00E870AF">
      <w:r>
        <w:t xml:space="preserve">Taking this role allows OGC to </w:t>
      </w:r>
      <w:r w:rsidR="00E870AF">
        <w:t xml:space="preserve">organize internal activities, to </w:t>
      </w:r>
      <w:r>
        <w:t>learn about new trends</w:t>
      </w:r>
      <w:r w:rsidR="00E870AF">
        <w:t xml:space="preserve"> in emerging markets,</w:t>
      </w:r>
      <w:r>
        <w:t xml:space="preserve"> and to understand the requirements of particular domains. </w:t>
      </w:r>
    </w:p>
    <w:p w14:paraId="57310C9E" w14:textId="36DDD779" w:rsidR="00FD7C65" w:rsidRPr="00FD7C65" w:rsidRDefault="001A331A" w:rsidP="00FD7C65">
      <w:pPr>
        <w:pStyle w:val="Heading2"/>
        <w:spacing w:after="200"/>
        <w:contextualSpacing w:val="0"/>
        <w:rPr>
          <w:sz w:val="24"/>
        </w:rPr>
      </w:pPr>
      <w:bookmarkStart w:id="15" w:name="_Toc300432707"/>
      <w:bookmarkStart w:id="16" w:name="_Toc300432778"/>
      <w:r>
        <w:rPr>
          <w:sz w:val="24"/>
        </w:rPr>
        <w:lastRenderedPageBreak/>
        <w:t xml:space="preserve">2.2.2 </w:t>
      </w:r>
      <w:r w:rsidR="00FD7C65" w:rsidRPr="00FD7C65">
        <w:rPr>
          <w:sz w:val="24"/>
        </w:rPr>
        <w:t>Technical Coordination</w:t>
      </w:r>
      <w:bookmarkEnd w:id="15"/>
      <w:bookmarkEnd w:id="16"/>
    </w:p>
    <w:p w14:paraId="77A00FD3" w14:textId="5BFD8FC4" w:rsidR="001A331A" w:rsidRDefault="00A3602C" w:rsidP="001A331A">
      <w:pPr>
        <w:pStyle w:val="Normal1"/>
        <w:spacing w:after="200"/>
        <w:contextualSpacing/>
      </w:pPr>
      <w:r>
        <w:t xml:space="preserve">OGC coordinates the technical developments within </w:t>
      </w:r>
      <w:r w:rsidR="001A331A">
        <w:t>a</w:t>
      </w:r>
      <w:r>
        <w:t xml:space="preserve"> project. The role requires a very good overview of all technical developments and a good understanding of state-of-the art approaches and trends. It helps OGC to understand the latest developments in terms of domain-specific </w:t>
      </w:r>
      <w:r w:rsidR="001A331A">
        <w:t>research and development</w:t>
      </w:r>
      <w:r>
        <w:t xml:space="preserve"> and connects </w:t>
      </w:r>
      <w:r w:rsidR="001A331A">
        <w:t>with OGC members and external organizations on a technical level</w:t>
      </w:r>
      <w:r w:rsidR="0065308D">
        <w:t>.</w:t>
      </w:r>
    </w:p>
    <w:p w14:paraId="17C0C198" w14:textId="1428D8D4" w:rsidR="001A331A" w:rsidRPr="001A331A" w:rsidRDefault="001A331A" w:rsidP="001A331A">
      <w:pPr>
        <w:pStyle w:val="Heading2"/>
        <w:spacing w:after="200"/>
        <w:contextualSpacing w:val="0"/>
        <w:rPr>
          <w:sz w:val="24"/>
        </w:rPr>
      </w:pPr>
      <w:bookmarkStart w:id="17" w:name="_Toc300432708"/>
      <w:bookmarkStart w:id="18" w:name="_Toc300432779"/>
      <w:r>
        <w:rPr>
          <w:sz w:val="24"/>
        </w:rPr>
        <w:t xml:space="preserve">2.2.3 </w:t>
      </w:r>
      <w:r w:rsidRPr="001A331A">
        <w:rPr>
          <w:sz w:val="24"/>
        </w:rPr>
        <w:t>Architecture Development &amp; Research</w:t>
      </w:r>
      <w:bookmarkEnd w:id="17"/>
      <w:bookmarkEnd w:id="18"/>
    </w:p>
    <w:p w14:paraId="2B96F586" w14:textId="5F8C5948" w:rsidR="00651379" w:rsidRDefault="008E0023" w:rsidP="0065308D">
      <w:pPr>
        <w:pStyle w:val="Normal1"/>
        <w:spacing w:after="200"/>
        <w:contextualSpacing/>
      </w:pPr>
      <w:r>
        <w:t xml:space="preserve">Performing this role, </w:t>
      </w:r>
      <w:r w:rsidR="00A3602C">
        <w:t>OGC works on architecture</w:t>
      </w:r>
      <w:r w:rsidR="0065308D">
        <w:t xml:space="preserve"> development</w:t>
      </w:r>
      <w:r>
        <w:t>s</w:t>
      </w:r>
      <w:r w:rsidR="00A3602C">
        <w:t xml:space="preserve"> </w:t>
      </w:r>
      <w:r w:rsidR="0065308D">
        <w:t>and</w:t>
      </w:r>
      <w:r w:rsidR="00A3602C">
        <w:t xml:space="preserve"> sp</w:t>
      </w:r>
      <w:r w:rsidR="0065308D">
        <w:t xml:space="preserve">ecific research topics within </w:t>
      </w:r>
      <w:r w:rsidR="00A3602C">
        <w:t>project</w:t>
      </w:r>
      <w:r w:rsidR="0065308D">
        <w:t>s</w:t>
      </w:r>
      <w:r w:rsidR="00A3602C">
        <w:t>. This role requires a very good technical expertise and skills in architecture design and documentation</w:t>
      </w:r>
      <w:r w:rsidR="00651379">
        <w:t xml:space="preserve"> and a solid understanding of</w:t>
      </w:r>
      <w:r w:rsidR="0065308D">
        <w:t xml:space="preserve"> the latest technological trends, applications, tools, and products</w:t>
      </w:r>
      <w:r w:rsidR="00A3602C">
        <w:t xml:space="preserve">. </w:t>
      </w:r>
      <w:r w:rsidR="00651379">
        <w:t xml:space="preserve">This role strengthens the connection with the OGC Standards Program, as existing standards are tested and explored, and new </w:t>
      </w:r>
      <w:r w:rsidR="00A3602C">
        <w:t xml:space="preserve">requirements, </w:t>
      </w:r>
      <w:r w:rsidR="00651379">
        <w:t xml:space="preserve">ideas, and technologies are added to existing specifications. This role, which is applied in tight connection with OGC members, serves an OGC innovation </w:t>
      </w:r>
      <w:r>
        <w:t>purpose</w:t>
      </w:r>
      <w:r w:rsidR="00651379">
        <w:t xml:space="preserve"> to ensure sustainable and forward-looking specifications, technologies, and standards.</w:t>
      </w:r>
    </w:p>
    <w:p w14:paraId="2CDC3D36" w14:textId="15FF98A8" w:rsidR="0065308D" w:rsidRPr="0065308D" w:rsidRDefault="0065308D" w:rsidP="0065308D">
      <w:pPr>
        <w:pStyle w:val="Heading2"/>
        <w:spacing w:after="200"/>
        <w:contextualSpacing w:val="0"/>
        <w:rPr>
          <w:sz w:val="24"/>
        </w:rPr>
      </w:pPr>
      <w:bookmarkStart w:id="19" w:name="_Toc300432709"/>
      <w:bookmarkStart w:id="20" w:name="_Toc300432780"/>
      <w:r w:rsidRPr="0065308D">
        <w:rPr>
          <w:sz w:val="24"/>
        </w:rPr>
        <w:t xml:space="preserve">2.2.4 Knowledge </w:t>
      </w:r>
      <w:r w:rsidR="007B7830">
        <w:rPr>
          <w:sz w:val="24"/>
        </w:rPr>
        <w:t>Transfer</w:t>
      </w:r>
      <w:bookmarkEnd w:id="19"/>
      <w:bookmarkEnd w:id="20"/>
    </w:p>
    <w:p w14:paraId="69F0C50D" w14:textId="264A0715" w:rsidR="00C37ACC" w:rsidRDefault="00A3602C" w:rsidP="007B7830">
      <w:pPr>
        <w:pStyle w:val="Normal1"/>
        <w:spacing w:after="200"/>
        <w:contextualSpacing/>
      </w:pPr>
      <w:r>
        <w:t xml:space="preserve">This role focuses on knowledge </w:t>
      </w:r>
      <w:r w:rsidR="00C90AFD">
        <w:t xml:space="preserve">transfer from OGC to other organizations. </w:t>
      </w:r>
      <w:r>
        <w:t xml:space="preserve">OGC </w:t>
      </w:r>
      <w:r w:rsidR="00437EEA">
        <w:t xml:space="preserve">makes its experiences and know-how available and helps other organizations to understand both details about OGC standards and technologies as well as general aspects of distributed computing, software architectures, compliance testing </w:t>
      </w:r>
      <w:r w:rsidR="00874DA0">
        <w:t xml:space="preserve">and </w:t>
      </w:r>
      <w:r w:rsidR="00437EEA">
        <w:t>other field</w:t>
      </w:r>
      <w:r w:rsidR="00874DA0">
        <w:t>s</w:t>
      </w:r>
      <w:r w:rsidR="00437EEA">
        <w:t xml:space="preserve"> of expertise.</w:t>
      </w:r>
    </w:p>
    <w:p w14:paraId="2F7B8969" w14:textId="3FB41389" w:rsidR="00437EEA" w:rsidRDefault="00C37ACC" w:rsidP="007B7830">
      <w:pPr>
        <w:pStyle w:val="Normal1"/>
        <w:spacing w:after="200"/>
        <w:contextualSpacing/>
      </w:pPr>
      <w:r>
        <w:t xml:space="preserve">Playing this role allows other organizations to profit from the profound technical expertise of OGC and accelerates knowledge transfer among OGC members. </w:t>
      </w:r>
      <w:r w:rsidR="00034F97">
        <w:t>This</w:t>
      </w:r>
      <w:r w:rsidR="00874DA0">
        <w:t xml:space="preserve"> also helps organizations with strategy-formulation, enabling them to better gauge the trajectory and momentum of OGC standards and technologies.</w:t>
      </w:r>
    </w:p>
    <w:p w14:paraId="348939FD" w14:textId="5AF39CEB" w:rsidR="00C37ACC" w:rsidRPr="00C37ACC" w:rsidRDefault="00C37ACC" w:rsidP="00C37ACC">
      <w:pPr>
        <w:pStyle w:val="Heading2"/>
        <w:spacing w:after="200"/>
        <w:contextualSpacing w:val="0"/>
        <w:rPr>
          <w:sz w:val="24"/>
        </w:rPr>
      </w:pPr>
      <w:bookmarkStart w:id="21" w:name="_Toc300432710"/>
      <w:bookmarkStart w:id="22" w:name="_Toc300432781"/>
      <w:r>
        <w:rPr>
          <w:sz w:val="24"/>
        </w:rPr>
        <w:t xml:space="preserve">2.2.5 </w:t>
      </w:r>
      <w:r w:rsidR="005E011D">
        <w:rPr>
          <w:sz w:val="24"/>
        </w:rPr>
        <w:t>Exploitation</w:t>
      </w:r>
      <w:r w:rsidR="00A3602C" w:rsidRPr="00C37ACC">
        <w:rPr>
          <w:sz w:val="24"/>
        </w:rPr>
        <w:t xml:space="preserve"> </w:t>
      </w:r>
      <w:r w:rsidR="0063042E">
        <w:rPr>
          <w:sz w:val="24"/>
        </w:rPr>
        <w:t>and</w:t>
      </w:r>
      <w:r w:rsidR="00A3602C" w:rsidRPr="00C37ACC">
        <w:rPr>
          <w:sz w:val="24"/>
        </w:rPr>
        <w:t xml:space="preserve"> Dissemination</w:t>
      </w:r>
      <w:bookmarkEnd w:id="21"/>
      <w:bookmarkEnd w:id="22"/>
    </w:p>
    <w:p w14:paraId="51223EB8" w14:textId="7DAB59E4" w:rsidR="005E011D" w:rsidRDefault="00C37ACC" w:rsidP="00C37ACC">
      <w:pPr>
        <w:pStyle w:val="Normal1"/>
        <w:spacing w:after="200"/>
        <w:contextualSpacing/>
      </w:pPr>
      <w:r>
        <w:t xml:space="preserve">OGC </w:t>
      </w:r>
      <w:r w:rsidR="005E011D">
        <w:t>is</w:t>
      </w:r>
      <w:r w:rsidR="00A3602C">
        <w:t xml:space="preserve"> </w:t>
      </w:r>
      <w:r w:rsidR="005E011D">
        <w:t xml:space="preserve">continuously engaged in dissemination </w:t>
      </w:r>
      <w:r w:rsidR="00A3602C">
        <w:t>activities at various events</w:t>
      </w:r>
      <w:r>
        <w:t xml:space="preserve"> and opportunities</w:t>
      </w:r>
      <w:r w:rsidR="005E011D">
        <w:t xml:space="preserve"> and can leverage its network for the benefit of other organizations</w:t>
      </w:r>
      <w:r>
        <w:t>. Using its wide field of contacts and engagements</w:t>
      </w:r>
      <w:r w:rsidR="005E011D">
        <w:t>, OGC can help organizations to optimize their product and technology exploitation strategies and to disseminate (research) developments at various events. This role requires strong networks and connections int</w:t>
      </w:r>
      <w:r w:rsidR="0063042E">
        <w:t>o domains and communities and</w:t>
      </w:r>
      <w:r w:rsidR="005E011D">
        <w:t xml:space="preserve"> </w:t>
      </w:r>
    </w:p>
    <w:p w14:paraId="3EC4287C" w14:textId="46A35EB6" w:rsidR="006C2620" w:rsidRDefault="00A3602C" w:rsidP="00C37ACC">
      <w:pPr>
        <w:pStyle w:val="Normal1"/>
        <w:spacing w:after="200"/>
        <w:contextualSpacing/>
      </w:pPr>
      <w:proofErr w:type="gramStart"/>
      <w:r>
        <w:t>adaptability</w:t>
      </w:r>
      <w:proofErr w:type="gramEnd"/>
      <w:r>
        <w:t xml:space="preserve"> to new domains and players.  </w:t>
      </w:r>
    </w:p>
    <w:p w14:paraId="0651FC49" w14:textId="77777777" w:rsidR="006C2620" w:rsidRDefault="00A3602C">
      <w:pPr>
        <w:pStyle w:val="Heading1"/>
        <w:spacing w:before="480" w:after="120"/>
        <w:contextualSpacing w:val="0"/>
      </w:pPr>
      <w:bookmarkStart w:id="23" w:name="h.74qgj3ppu8cz" w:colFirst="0" w:colLast="0"/>
      <w:bookmarkStart w:id="24" w:name="_Toc300432782"/>
      <w:bookmarkEnd w:id="23"/>
      <w:r>
        <w:t>3 General Principles of Operation</w:t>
      </w:r>
      <w:bookmarkEnd w:id="24"/>
    </w:p>
    <w:p w14:paraId="12482AD4" w14:textId="77777777" w:rsidR="006C2620" w:rsidRDefault="00A3602C">
      <w:pPr>
        <w:pStyle w:val="Normal1"/>
        <w:spacing w:before="240" w:after="120"/>
      </w:pPr>
      <w:r>
        <w:t xml:space="preserve">The OGC will follow principles of service engagement and operation as defined below: </w:t>
      </w:r>
    </w:p>
    <w:p w14:paraId="759FC43B" w14:textId="03214291" w:rsidR="006C2620" w:rsidRDefault="00A3602C">
      <w:pPr>
        <w:pStyle w:val="Normal1"/>
        <w:numPr>
          <w:ilvl w:val="0"/>
          <w:numId w:val="1"/>
        </w:numPr>
        <w:spacing w:before="120" w:after="120"/>
        <w:ind w:hanging="359"/>
        <w:contextualSpacing/>
      </w:pPr>
      <w:r>
        <w:t xml:space="preserve">OGC provides </w:t>
      </w:r>
      <w:r w:rsidR="00AA6F5F">
        <w:t>Engineering</w:t>
      </w:r>
      <w:r w:rsidR="001E04DB">
        <w:t xml:space="preserve"> Services</w:t>
      </w:r>
      <w:r>
        <w:t xml:space="preserve"> to all organizations, though some interoperability program activities are restricted to </w:t>
      </w:r>
      <w:r w:rsidR="00270BAA">
        <w:t>m</w:t>
      </w:r>
      <w:r>
        <w:t xml:space="preserve">embers of the </w:t>
      </w:r>
      <w:r w:rsidR="00270BAA">
        <w:t>c</w:t>
      </w:r>
      <w:r>
        <w:t>onsortium only.</w:t>
      </w:r>
    </w:p>
    <w:p w14:paraId="0D37F4A3" w14:textId="6EB16D5E" w:rsidR="006C2620" w:rsidRDefault="00A3602C">
      <w:pPr>
        <w:pStyle w:val="Normal1"/>
        <w:numPr>
          <w:ilvl w:val="0"/>
          <w:numId w:val="1"/>
        </w:numPr>
        <w:spacing w:before="120" w:after="120"/>
        <w:ind w:hanging="359"/>
        <w:contextualSpacing/>
      </w:pPr>
      <w:r>
        <w:t xml:space="preserve">OGC provides </w:t>
      </w:r>
      <w:r w:rsidR="00AA6F5F">
        <w:t>Engineering</w:t>
      </w:r>
      <w:r w:rsidR="001E04DB">
        <w:t xml:space="preserve"> Services</w:t>
      </w:r>
      <w:r>
        <w:t xml:space="preserve"> in a non-exclusive and non-discriminatory manner.  </w:t>
      </w:r>
    </w:p>
    <w:p w14:paraId="36B0C597" w14:textId="19BFCE0E" w:rsidR="006C2620" w:rsidRDefault="00A3602C">
      <w:pPr>
        <w:pStyle w:val="Normal1"/>
        <w:numPr>
          <w:ilvl w:val="0"/>
          <w:numId w:val="1"/>
        </w:numPr>
        <w:spacing w:before="120" w:after="120"/>
        <w:ind w:hanging="359"/>
        <w:contextualSpacing/>
      </w:pPr>
      <w:r>
        <w:lastRenderedPageBreak/>
        <w:t xml:space="preserve">OGC will notify the </w:t>
      </w:r>
      <w:r w:rsidR="00270BAA">
        <w:t>m</w:t>
      </w:r>
      <w:r>
        <w:t>embership when a project exists</w:t>
      </w:r>
      <w:r w:rsidR="0063042E">
        <w:t xml:space="preserve"> as necessary</w:t>
      </w:r>
      <w:r>
        <w:t xml:space="preserve">, to avoid conflict of interest in </w:t>
      </w:r>
      <w:r w:rsidR="00270BAA">
        <w:t>engineering service</w:t>
      </w:r>
      <w:r>
        <w:t xml:space="preserve"> provision</w:t>
      </w:r>
      <w:r w:rsidR="00270BAA">
        <w:t xml:space="preserve"> as long as a contract does not require confidentiality</w:t>
      </w:r>
      <w:r>
        <w:t>. Such release may or may not include the organization or work details.</w:t>
      </w:r>
    </w:p>
    <w:p w14:paraId="36990A6C" w14:textId="404641F7" w:rsidR="006C2620" w:rsidRDefault="00A3602C">
      <w:pPr>
        <w:pStyle w:val="Normal1"/>
        <w:numPr>
          <w:ilvl w:val="0"/>
          <w:numId w:val="1"/>
        </w:numPr>
        <w:spacing w:before="120" w:after="120"/>
        <w:ind w:hanging="359"/>
        <w:contextualSpacing/>
      </w:pPr>
      <w:r>
        <w:t xml:space="preserve">OGC will inform the Board of Directors Executive Committee, under Non-Disclosure Agreement, of planned/active </w:t>
      </w:r>
      <w:r w:rsidR="00AA6F5F">
        <w:t>Engineering</w:t>
      </w:r>
      <w:r w:rsidR="001E04DB">
        <w:t xml:space="preserve"> Services</w:t>
      </w:r>
      <w:r>
        <w:t>.</w:t>
      </w:r>
    </w:p>
    <w:p w14:paraId="28319F89" w14:textId="7301D24B" w:rsidR="006C2620" w:rsidRDefault="00AA6F5F">
      <w:pPr>
        <w:pStyle w:val="Normal1"/>
        <w:numPr>
          <w:ilvl w:val="0"/>
          <w:numId w:val="1"/>
        </w:numPr>
        <w:spacing w:before="120" w:after="120"/>
        <w:ind w:hanging="359"/>
        <w:contextualSpacing/>
      </w:pPr>
      <w:r>
        <w:t>Engineering</w:t>
      </w:r>
      <w:r w:rsidR="001E04DB">
        <w:t xml:space="preserve"> Services</w:t>
      </w:r>
      <w:r w:rsidR="00A3602C">
        <w:t xml:space="preserve"> will not involve in any assessment or recommendations regarding specific products and services.</w:t>
      </w:r>
    </w:p>
    <w:p w14:paraId="12C21D7E" w14:textId="52A45A04" w:rsidR="006C2620" w:rsidRDefault="00A3602C">
      <w:pPr>
        <w:pStyle w:val="Normal1"/>
        <w:numPr>
          <w:ilvl w:val="0"/>
          <w:numId w:val="1"/>
        </w:numPr>
        <w:spacing w:before="120" w:after="120"/>
        <w:ind w:hanging="359"/>
        <w:contextualSpacing/>
      </w:pPr>
      <w:r>
        <w:t xml:space="preserve">As required, personnel involved in </w:t>
      </w:r>
      <w:r w:rsidR="00AA6F5F">
        <w:t>Engineering</w:t>
      </w:r>
      <w:r w:rsidR="001E04DB">
        <w:t xml:space="preserve"> Services</w:t>
      </w:r>
      <w:r>
        <w:t xml:space="preserve"> will sign non-disclosure agreements with</w:t>
      </w:r>
      <w:r w:rsidR="0012684D">
        <w:t xml:space="preserve"> contracting organizations</w:t>
      </w:r>
      <w:r>
        <w:t xml:space="preserve"> to protect their </w:t>
      </w:r>
      <w:r w:rsidR="0012684D">
        <w:t>i</w:t>
      </w:r>
      <w:r>
        <w:t xml:space="preserve">ntellectual </w:t>
      </w:r>
      <w:r w:rsidR="0012684D">
        <w:t>p</w:t>
      </w:r>
      <w:r>
        <w:t xml:space="preserve">roperty </w:t>
      </w:r>
      <w:r w:rsidR="0012684D">
        <w:t>r</w:t>
      </w:r>
      <w:r>
        <w:t>ights</w:t>
      </w:r>
      <w:r w:rsidR="0012684D">
        <w:t xml:space="preserve"> and trade secrets</w:t>
      </w:r>
      <w:r>
        <w:t>.</w:t>
      </w:r>
    </w:p>
    <w:p w14:paraId="3BF232A1" w14:textId="1AF80D6E" w:rsidR="006C2620" w:rsidRDefault="00A3602C">
      <w:pPr>
        <w:pStyle w:val="Normal1"/>
        <w:spacing w:before="240" w:after="120"/>
      </w:pPr>
      <w:r>
        <w:t xml:space="preserve">OGC subsidiaries in Europe (OGC-E) and Australasia (OGC-A) </w:t>
      </w:r>
      <w:r w:rsidR="00EE6CAD">
        <w:t xml:space="preserve">also </w:t>
      </w:r>
      <w:r>
        <w:t>apply these principles according to the laws, customs and procedures of their respective regions.</w:t>
      </w:r>
    </w:p>
    <w:p w14:paraId="6E56C776" w14:textId="77777777" w:rsidR="006C2620" w:rsidRDefault="006C2620">
      <w:pPr>
        <w:pStyle w:val="Normal1"/>
        <w:spacing w:after="200"/>
      </w:pPr>
      <w:bookmarkStart w:id="25" w:name="h.4omrie1emd1m" w:colFirst="0" w:colLast="0"/>
      <w:bookmarkEnd w:id="25"/>
    </w:p>
    <w:sectPr w:rsidR="006C2620" w:rsidSect="00281DAF">
      <w:headerReference w:type="default" r:id="rId12"/>
      <w:footerReference w:type="defaul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13F6" w14:textId="77777777" w:rsidR="001B74CA" w:rsidRDefault="001B74CA">
      <w:pPr>
        <w:spacing w:line="240" w:lineRule="auto"/>
      </w:pPr>
      <w:r>
        <w:separator/>
      </w:r>
    </w:p>
  </w:endnote>
  <w:endnote w:type="continuationSeparator" w:id="0">
    <w:p w14:paraId="7CC2EBC4" w14:textId="77777777" w:rsidR="001B74CA" w:rsidRDefault="001B7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AB12" w14:textId="77777777" w:rsidR="001B74CA" w:rsidRDefault="001B74CA">
    <w:pPr>
      <w:pStyle w:val="Footer"/>
    </w:pPr>
    <w:r>
      <w:tab/>
    </w:r>
    <w:r>
      <w:rPr>
        <w:rStyle w:val="PageNumber"/>
      </w:rPr>
      <w:fldChar w:fldCharType="begin"/>
    </w:r>
    <w:r>
      <w:rPr>
        <w:rStyle w:val="PageNumber"/>
      </w:rPr>
      <w:instrText xml:space="preserve"> PAGE </w:instrText>
    </w:r>
    <w:r>
      <w:rPr>
        <w:rStyle w:val="PageNumber"/>
      </w:rPr>
      <w:fldChar w:fldCharType="separate"/>
    </w:r>
    <w:r w:rsidR="0002322A">
      <w:rPr>
        <w:rStyle w:val="PageNumber"/>
        <w:noProof/>
      </w:rPr>
      <w:t>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34B6" w14:textId="77777777" w:rsidR="000F2FFE" w:rsidRDefault="000F2FFE" w:rsidP="004D7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22A">
      <w:rPr>
        <w:rStyle w:val="PageNumber"/>
        <w:noProof/>
      </w:rPr>
      <w:t>1</w:t>
    </w:r>
    <w:r>
      <w:rPr>
        <w:rStyle w:val="PageNumber"/>
      </w:rPr>
      <w:fldChar w:fldCharType="end"/>
    </w:r>
  </w:p>
  <w:p w14:paraId="345C2D98" w14:textId="77777777" w:rsidR="000F2FFE" w:rsidRDefault="000F2FFE" w:rsidP="000F2FF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81014"/>
      <w:docPartObj>
        <w:docPartGallery w:val="Page Numbers (Bottom of Page)"/>
        <w:docPartUnique/>
      </w:docPartObj>
    </w:sdtPr>
    <w:sdtEndPr>
      <w:rPr>
        <w:noProof/>
      </w:rPr>
    </w:sdtEndPr>
    <w:sdtContent>
      <w:p w14:paraId="194C874C" w14:textId="1F8AAEAC" w:rsidR="001B74CA" w:rsidRDefault="001B74CA" w:rsidP="000F2FFE">
        <w:pPr>
          <w:pStyle w:val="Footer"/>
          <w:jc w:val="right"/>
        </w:pPr>
        <w:r>
          <w:fldChar w:fldCharType="begin"/>
        </w:r>
        <w:r>
          <w:instrText xml:space="preserve"> PAGE   \* MERGEFORMAT </w:instrText>
        </w:r>
        <w:r>
          <w:fldChar w:fldCharType="separate"/>
        </w:r>
        <w:r w:rsidR="0002322A">
          <w:rPr>
            <w:noProof/>
          </w:rPr>
          <w:t>4</w:t>
        </w:r>
        <w:r>
          <w:rPr>
            <w:noProof/>
          </w:rPr>
          <w:fldChar w:fldCharType="end"/>
        </w:r>
      </w:p>
    </w:sdtContent>
  </w:sdt>
  <w:p w14:paraId="27F8B705" w14:textId="5E6D11B0" w:rsidR="001B74CA" w:rsidRDefault="001B74CA">
    <w:pPr>
      <w:pStyle w:val="Normal1"/>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0F5B6" w14:textId="77777777" w:rsidR="001B74CA" w:rsidRDefault="001B74CA">
      <w:pPr>
        <w:spacing w:line="240" w:lineRule="auto"/>
      </w:pPr>
      <w:r>
        <w:separator/>
      </w:r>
    </w:p>
  </w:footnote>
  <w:footnote w:type="continuationSeparator" w:id="0">
    <w:p w14:paraId="4D4D9FD3" w14:textId="77777777" w:rsidR="001B74CA" w:rsidRDefault="001B74CA">
      <w:pPr>
        <w:spacing w:line="240" w:lineRule="auto"/>
      </w:pPr>
      <w:r>
        <w:continuationSeparator/>
      </w:r>
    </w:p>
  </w:footnote>
  <w:footnote w:id="1">
    <w:p w14:paraId="7824CDF3" w14:textId="6D33CD00" w:rsidR="001B74CA" w:rsidRDefault="001B74CA">
      <w:pPr>
        <w:pStyle w:val="Normal1"/>
        <w:spacing w:line="240" w:lineRule="auto"/>
      </w:pPr>
      <w:r>
        <w:rPr>
          <w:vertAlign w:val="superscript"/>
        </w:rPr>
        <w:footnoteRef/>
      </w:r>
      <w:r>
        <w:rPr>
          <w:sz w:val="20"/>
        </w:rPr>
        <w:t xml:space="preserve"> For consistency, the acronym OGC is used throughout the text, even though most European activities are performed through </w:t>
      </w:r>
      <w:r w:rsidRPr="003B5ED3">
        <w:rPr>
          <w:sz w:val="20"/>
        </w:rPr>
        <w:t xml:space="preserve">Open Geospatial Consortium </w:t>
      </w:r>
      <w:r w:rsidRPr="003B5ED3">
        <w:rPr>
          <w:bCs/>
          <w:sz w:val="20"/>
        </w:rPr>
        <w:t>Europe</w:t>
      </w:r>
      <w:r w:rsidRPr="003B5ED3">
        <w:rPr>
          <w:sz w:val="20"/>
        </w:rPr>
        <w:t xml:space="preserve"> </w:t>
      </w:r>
      <w:r>
        <w:rPr>
          <w:sz w:val="20"/>
        </w:rPr>
        <w:t xml:space="preserve">(OGC-E).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6C88" w14:textId="28F24176" w:rsidR="001B74CA" w:rsidRDefault="001B74CA" w:rsidP="00DA5FB4">
    <w:pPr>
      <w:pStyle w:val="Header"/>
      <w:rPr>
        <w:b/>
      </w:rPr>
    </w:pPr>
    <w:r>
      <w:rPr>
        <w:b/>
      </w:rPr>
      <w:tab/>
      <w:t>The OGC Interoperability Program</w:t>
    </w:r>
    <w:r>
      <w:rPr>
        <w:b/>
      </w:rPr>
      <w:tab/>
      <w:t>15-021r1</w:t>
    </w:r>
  </w:p>
  <w:p w14:paraId="35B3A7AF" w14:textId="77777777" w:rsidR="001B74CA" w:rsidRDefault="001B74CA">
    <w:pPr>
      <w:pStyle w:val="Normal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6F3"/>
    <w:multiLevelType w:val="multilevel"/>
    <w:tmpl w:val="7124E1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5DC2181"/>
    <w:multiLevelType w:val="multilevel"/>
    <w:tmpl w:val="2B5E08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575070B"/>
    <w:multiLevelType w:val="multilevel"/>
    <w:tmpl w:val="A53A2E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2B42EB9"/>
    <w:multiLevelType w:val="hybridMultilevel"/>
    <w:tmpl w:val="588A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95812"/>
    <w:multiLevelType w:val="hybridMultilevel"/>
    <w:tmpl w:val="D8AE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A1138"/>
    <w:multiLevelType w:val="multilevel"/>
    <w:tmpl w:val="AEE07C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5A233F33"/>
    <w:multiLevelType w:val="multilevel"/>
    <w:tmpl w:val="A47A5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D796C0C"/>
    <w:multiLevelType w:val="hybridMultilevel"/>
    <w:tmpl w:val="6962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C2620"/>
    <w:rsid w:val="00004BB0"/>
    <w:rsid w:val="00013917"/>
    <w:rsid w:val="00014CC3"/>
    <w:rsid w:val="0002322A"/>
    <w:rsid w:val="00031040"/>
    <w:rsid w:val="00034F97"/>
    <w:rsid w:val="000364FF"/>
    <w:rsid w:val="00053010"/>
    <w:rsid w:val="00055401"/>
    <w:rsid w:val="0005591F"/>
    <w:rsid w:val="0008482E"/>
    <w:rsid w:val="000924B9"/>
    <w:rsid w:val="000931F5"/>
    <w:rsid w:val="000A0E3A"/>
    <w:rsid w:val="000D52AF"/>
    <w:rsid w:val="000F2FFE"/>
    <w:rsid w:val="00116F35"/>
    <w:rsid w:val="0012684D"/>
    <w:rsid w:val="00185EEB"/>
    <w:rsid w:val="001A16FA"/>
    <w:rsid w:val="001A331A"/>
    <w:rsid w:val="001B1E5B"/>
    <w:rsid w:val="001B74CA"/>
    <w:rsid w:val="001E04DB"/>
    <w:rsid w:val="002052C6"/>
    <w:rsid w:val="00270BAA"/>
    <w:rsid w:val="002727ED"/>
    <w:rsid w:val="00275F2F"/>
    <w:rsid w:val="00281DAF"/>
    <w:rsid w:val="0028252C"/>
    <w:rsid w:val="002A43A3"/>
    <w:rsid w:val="002D2E63"/>
    <w:rsid w:val="002F0F9C"/>
    <w:rsid w:val="003140FB"/>
    <w:rsid w:val="00323B8F"/>
    <w:rsid w:val="003B5ED3"/>
    <w:rsid w:val="003C52C7"/>
    <w:rsid w:val="003E5285"/>
    <w:rsid w:val="003F544A"/>
    <w:rsid w:val="0041243D"/>
    <w:rsid w:val="00437EEA"/>
    <w:rsid w:val="0044799A"/>
    <w:rsid w:val="004531A8"/>
    <w:rsid w:val="00472E10"/>
    <w:rsid w:val="00485CFA"/>
    <w:rsid w:val="004C1B1F"/>
    <w:rsid w:val="0051581E"/>
    <w:rsid w:val="00563847"/>
    <w:rsid w:val="005848FD"/>
    <w:rsid w:val="00593544"/>
    <w:rsid w:val="005940FA"/>
    <w:rsid w:val="005C7D26"/>
    <w:rsid w:val="005E011D"/>
    <w:rsid w:val="005F20EB"/>
    <w:rsid w:val="005F3133"/>
    <w:rsid w:val="00607E11"/>
    <w:rsid w:val="00614865"/>
    <w:rsid w:val="00622B15"/>
    <w:rsid w:val="0063042E"/>
    <w:rsid w:val="006311D7"/>
    <w:rsid w:val="00651379"/>
    <w:rsid w:val="0065308D"/>
    <w:rsid w:val="0066385D"/>
    <w:rsid w:val="006C2620"/>
    <w:rsid w:val="006E597B"/>
    <w:rsid w:val="006F0D16"/>
    <w:rsid w:val="006F29BF"/>
    <w:rsid w:val="0072648C"/>
    <w:rsid w:val="00737C62"/>
    <w:rsid w:val="00776FD8"/>
    <w:rsid w:val="007B7830"/>
    <w:rsid w:val="007C191E"/>
    <w:rsid w:val="007D3005"/>
    <w:rsid w:val="00874DA0"/>
    <w:rsid w:val="00886325"/>
    <w:rsid w:val="008A6F07"/>
    <w:rsid w:val="008D2C6A"/>
    <w:rsid w:val="008E0023"/>
    <w:rsid w:val="00926961"/>
    <w:rsid w:val="009802BE"/>
    <w:rsid w:val="009B1E8A"/>
    <w:rsid w:val="009B241B"/>
    <w:rsid w:val="00A230C0"/>
    <w:rsid w:val="00A31FBE"/>
    <w:rsid w:val="00A3602C"/>
    <w:rsid w:val="00A75E7D"/>
    <w:rsid w:val="00A91863"/>
    <w:rsid w:val="00AA6F5F"/>
    <w:rsid w:val="00B11FCB"/>
    <w:rsid w:val="00B23320"/>
    <w:rsid w:val="00B374D8"/>
    <w:rsid w:val="00B9271B"/>
    <w:rsid w:val="00B94ED7"/>
    <w:rsid w:val="00BA02C1"/>
    <w:rsid w:val="00BF24B5"/>
    <w:rsid w:val="00BF7046"/>
    <w:rsid w:val="00C35824"/>
    <w:rsid w:val="00C37ACC"/>
    <w:rsid w:val="00C90AFD"/>
    <w:rsid w:val="00C97B27"/>
    <w:rsid w:val="00CD5D6F"/>
    <w:rsid w:val="00D16F29"/>
    <w:rsid w:val="00D55F28"/>
    <w:rsid w:val="00D6251F"/>
    <w:rsid w:val="00DA5FB4"/>
    <w:rsid w:val="00E17E37"/>
    <w:rsid w:val="00E21864"/>
    <w:rsid w:val="00E260C8"/>
    <w:rsid w:val="00E870AF"/>
    <w:rsid w:val="00EA106E"/>
    <w:rsid w:val="00EC141F"/>
    <w:rsid w:val="00EC14D9"/>
    <w:rsid w:val="00ED64C6"/>
    <w:rsid w:val="00EE6CAD"/>
    <w:rsid w:val="00EF1B14"/>
    <w:rsid w:val="00F048B6"/>
    <w:rsid w:val="00F057F9"/>
    <w:rsid w:val="00F51116"/>
    <w:rsid w:val="00F601B1"/>
    <w:rsid w:val="00F676DB"/>
    <w:rsid w:val="00FD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4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AF"/>
    <w:pPr>
      <w:spacing w:after="120"/>
    </w:p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qFormat/>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60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0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3602C"/>
    <w:rPr>
      <w:b/>
      <w:bCs/>
      <w:sz w:val="20"/>
      <w:szCs w:val="20"/>
    </w:rPr>
  </w:style>
  <w:style w:type="character" w:customStyle="1" w:styleId="CommentSubjectChar">
    <w:name w:val="Comment Subject Char"/>
    <w:basedOn w:val="CommentTextChar"/>
    <w:link w:val="CommentSubject"/>
    <w:uiPriority w:val="99"/>
    <w:semiHidden/>
    <w:rsid w:val="00A3602C"/>
    <w:rPr>
      <w:b/>
      <w:bCs/>
      <w:sz w:val="20"/>
      <w:szCs w:val="24"/>
    </w:rPr>
  </w:style>
  <w:style w:type="paragraph" w:styleId="Revision">
    <w:name w:val="Revision"/>
    <w:hidden/>
    <w:uiPriority w:val="99"/>
    <w:semiHidden/>
    <w:rsid w:val="001B1E5B"/>
    <w:pPr>
      <w:spacing w:line="240" w:lineRule="auto"/>
    </w:pPr>
  </w:style>
  <w:style w:type="paragraph" w:styleId="ListParagraph">
    <w:name w:val="List Paragraph"/>
    <w:basedOn w:val="Normal"/>
    <w:uiPriority w:val="34"/>
    <w:qFormat/>
    <w:rsid w:val="002F0F9C"/>
    <w:pPr>
      <w:ind w:left="720"/>
      <w:contextualSpacing/>
    </w:pPr>
  </w:style>
  <w:style w:type="paragraph" w:customStyle="1" w:styleId="zzCover">
    <w:name w:val="zzCover"/>
    <w:basedOn w:val="Normal"/>
    <w:rsid w:val="007D3005"/>
    <w:pPr>
      <w:spacing w:after="220" w:line="240" w:lineRule="auto"/>
      <w:jc w:val="right"/>
    </w:pPr>
    <w:rPr>
      <w:rFonts w:ascii="Times" w:eastAsia="Times New Roman" w:hAnsi="Times" w:cs="Times New Roman"/>
      <w:color w:val="auto"/>
      <w:sz w:val="20"/>
      <w:lang w:val="en-GB"/>
    </w:rPr>
  </w:style>
  <w:style w:type="paragraph" w:customStyle="1" w:styleId="zzCopyright">
    <w:name w:val="zzCopyright"/>
    <w:basedOn w:val="Normal"/>
    <w:next w:val="Normal"/>
    <w:rsid w:val="00DA5FB4"/>
    <w:pPr>
      <w:pBdr>
        <w:top w:val="single" w:sz="6" w:space="1" w:color="auto"/>
        <w:left w:val="single" w:sz="6" w:space="4" w:color="auto"/>
        <w:bottom w:val="single" w:sz="6" w:space="1" w:color="auto"/>
        <w:right w:val="single" w:sz="6" w:space="4" w:color="auto"/>
      </w:pBdr>
      <w:tabs>
        <w:tab w:val="left" w:pos="514"/>
        <w:tab w:val="left" w:pos="9623"/>
      </w:tabs>
      <w:spacing w:after="240" w:line="240" w:lineRule="auto"/>
      <w:ind w:left="284" w:right="284"/>
    </w:pPr>
    <w:rPr>
      <w:rFonts w:ascii="Times New Roman" w:eastAsia="Times New Roman" w:hAnsi="Times New Roman" w:cs="Times New Roman"/>
      <w:color w:val="0000FF"/>
      <w:sz w:val="24"/>
      <w:lang w:val="en-GB"/>
    </w:rPr>
  </w:style>
  <w:style w:type="character" w:styleId="Hyperlink">
    <w:name w:val="Hyperlink"/>
    <w:rsid w:val="00DA5FB4"/>
    <w:rPr>
      <w:color w:val="0000FF"/>
      <w:u w:val="single"/>
    </w:rPr>
  </w:style>
  <w:style w:type="paragraph" w:styleId="Header">
    <w:name w:val="header"/>
    <w:basedOn w:val="Normal"/>
    <w:link w:val="HeaderChar"/>
    <w:uiPriority w:val="99"/>
    <w:unhideWhenUsed/>
    <w:rsid w:val="00DA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B4"/>
  </w:style>
  <w:style w:type="paragraph" w:styleId="Footer">
    <w:name w:val="footer"/>
    <w:basedOn w:val="Normal"/>
    <w:link w:val="FooterChar"/>
    <w:unhideWhenUsed/>
    <w:rsid w:val="00DA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B4"/>
  </w:style>
  <w:style w:type="paragraph" w:styleId="TOC1">
    <w:name w:val="toc 1"/>
    <w:basedOn w:val="Normal"/>
    <w:next w:val="Normal"/>
    <w:uiPriority w:val="39"/>
    <w:rsid w:val="00CD5D6F"/>
    <w:pPr>
      <w:spacing w:before="40" w:after="40" w:line="240" w:lineRule="auto"/>
    </w:pPr>
    <w:rPr>
      <w:rFonts w:eastAsia="Times New Roman" w:cs="Times New Roman"/>
      <w:b/>
      <w:noProof/>
      <w:color w:val="auto"/>
      <w:sz w:val="24"/>
      <w:lang w:val="de-DE"/>
    </w:rPr>
  </w:style>
  <w:style w:type="paragraph" w:styleId="TOC2">
    <w:name w:val="toc 2"/>
    <w:basedOn w:val="Normal"/>
    <w:next w:val="Normal"/>
    <w:uiPriority w:val="39"/>
    <w:rsid w:val="00CD5D6F"/>
    <w:pPr>
      <w:spacing w:after="0" w:line="240" w:lineRule="auto"/>
      <w:ind w:left="202"/>
    </w:pPr>
    <w:rPr>
      <w:rFonts w:ascii="Times New Roman" w:eastAsia="Times New Roman" w:hAnsi="Times New Roman" w:cs="Times New Roman"/>
      <w:b/>
      <w:noProof/>
      <w:color w:val="auto"/>
      <w:sz w:val="20"/>
      <w:lang w:val="de-DE"/>
    </w:rPr>
  </w:style>
  <w:style w:type="character" w:styleId="PageNumber">
    <w:name w:val="page number"/>
    <w:basedOn w:val="DefaultParagraphFont"/>
    <w:rsid w:val="00CD5D6F"/>
  </w:style>
  <w:style w:type="paragraph" w:customStyle="1" w:styleId="OGCClause">
    <w:name w:val="OGC Clause"/>
    <w:basedOn w:val="Normal"/>
    <w:next w:val="Normal"/>
    <w:rsid w:val="00CD5D6F"/>
    <w:pPr>
      <w:keepNext/>
      <w:numPr>
        <w:numId w:val="1"/>
      </w:numPr>
      <w:tabs>
        <w:tab w:val="left" w:pos="400"/>
      </w:tabs>
      <w:suppressAutoHyphens/>
      <w:spacing w:before="960" w:after="310" w:line="240" w:lineRule="auto"/>
      <w:ind w:left="0" w:firstLine="0"/>
    </w:pPr>
    <w:rPr>
      <w:rFonts w:ascii="Times New Roman" w:eastAsia="Times New Roman" w:hAnsi="Times New Roman" w:cs="Times New Roman"/>
      <w:b/>
      <w:noProof/>
      <w:color w:val="auto"/>
      <w:sz w:val="28"/>
      <w:lang w:val="de-DE"/>
    </w:rPr>
  </w:style>
  <w:style w:type="paragraph" w:customStyle="1" w:styleId="OGCtableheader">
    <w:name w:val="OGC table header"/>
    <w:basedOn w:val="BodyTextIndent"/>
    <w:rsid w:val="00CD5D6F"/>
    <w:pPr>
      <w:suppressAutoHyphens/>
      <w:spacing w:before="60" w:after="60" w:line="208" w:lineRule="auto"/>
      <w:ind w:left="0"/>
      <w:jc w:val="center"/>
    </w:pPr>
    <w:rPr>
      <w:rFonts w:ascii="Times New Roman" w:eastAsia="Times New Roman" w:hAnsi="Times New Roman" w:cs="Times New Roman"/>
      <w:b/>
      <w:noProof/>
      <w:color w:val="auto"/>
      <w:lang w:val="de-DE"/>
    </w:rPr>
  </w:style>
  <w:style w:type="paragraph" w:customStyle="1" w:styleId="OGCtabletext">
    <w:name w:val="OGC table text"/>
    <w:basedOn w:val="OGCtableheader"/>
    <w:rsid w:val="00CD5D6F"/>
    <w:pPr>
      <w:jc w:val="left"/>
    </w:pPr>
    <w:rPr>
      <w:b w:val="0"/>
    </w:rPr>
  </w:style>
  <w:style w:type="paragraph" w:styleId="BodyTextIndent">
    <w:name w:val="Body Text Indent"/>
    <w:basedOn w:val="Normal"/>
    <w:link w:val="BodyTextIndentChar"/>
    <w:uiPriority w:val="99"/>
    <w:semiHidden/>
    <w:unhideWhenUsed/>
    <w:rsid w:val="00CD5D6F"/>
    <w:pPr>
      <w:ind w:left="283"/>
    </w:pPr>
  </w:style>
  <w:style w:type="character" w:customStyle="1" w:styleId="BodyTextIndentChar">
    <w:name w:val="Body Text Indent Char"/>
    <w:basedOn w:val="DefaultParagraphFont"/>
    <w:link w:val="BodyTextIndent"/>
    <w:uiPriority w:val="99"/>
    <w:semiHidden/>
    <w:rsid w:val="00CD5D6F"/>
  </w:style>
  <w:style w:type="paragraph" w:styleId="TOC3">
    <w:name w:val="toc 3"/>
    <w:basedOn w:val="Normal"/>
    <w:next w:val="Normal"/>
    <w:autoRedefine/>
    <w:uiPriority w:val="39"/>
    <w:unhideWhenUsed/>
    <w:rsid w:val="000F2FFE"/>
    <w:pPr>
      <w:ind w:left="440"/>
    </w:pPr>
  </w:style>
  <w:style w:type="paragraph" w:styleId="TOC4">
    <w:name w:val="toc 4"/>
    <w:basedOn w:val="Normal"/>
    <w:next w:val="Normal"/>
    <w:autoRedefine/>
    <w:uiPriority w:val="39"/>
    <w:unhideWhenUsed/>
    <w:rsid w:val="000F2FFE"/>
    <w:pPr>
      <w:ind w:left="660"/>
    </w:pPr>
  </w:style>
  <w:style w:type="paragraph" w:styleId="TOC5">
    <w:name w:val="toc 5"/>
    <w:basedOn w:val="Normal"/>
    <w:next w:val="Normal"/>
    <w:autoRedefine/>
    <w:uiPriority w:val="39"/>
    <w:unhideWhenUsed/>
    <w:rsid w:val="000F2FFE"/>
    <w:pPr>
      <w:ind w:left="880"/>
    </w:pPr>
  </w:style>
  <w:style w:type="paragraph" w:styleId="TOC6">
    <w:name w:val="toc 6"/>
    <w:basedOn w:val="Normal"/>
    <w:next w:val="Normal"/>
    <w:autoRedefine/>
    <w:uiPriority w:val="39"/>
    <w:unhideWhenUsed/>
    <w:rsid w:val="000F2FFE"/>
    <w:pPr>
      <w:ind w:left="1100"/>
    </w:pPr>
  </w:style>
  <w:style w:type="paragraph" w:styleId="TOC7">
    <w:name w:val="toc 7"/>
    <w:basedOn w:val="Normal"/>
    <w:next w:val="Normal"/>
    <w:autoRedefine/>
    <w:uiPriority w:val="39"/>
    <w:unhideWhenUsed/>
    <w:rsid w:val="000F2FFE"/>
    <w:pPr>
      <w:ind w:left="1320"/>
    </w:pPr>
  </w:style>
  <w:style w:type="paragraph" w:styleId="TOC8">
    <w:name w:val="toc 8"/>
    <w:basedOn w:val="Normal"/>
    <w:next w:val="Normal"/>
    <w:autoRedefine/>
    <w:uiPriority w:val="39"/>
    <w:unhideWhenUsed/>
    <w:rsid w:val="000F2FFE"/>
    <w:pPr>
      <w:ind w:left="1540"/>
    </w:pPr>
  </w:style>
  <w:style w:type="paragraph" w:styleId="TOC9">
    <w:name w:val="toc 9"/>
    <w:basedOn w:val="Normal"/>
    <w:next w:val="Normal"/>
    <w:autoRedefine/>
    <w:uiPriority w:val="39"/>
    <w:unhideWhenUsed/>
    <w:rsid w:val="000F2FFE"/>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AF"/>
    <w:pPr>
      <w:spacing w:after="120"/>
    </w:p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qFormat/>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60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0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3602C"/>
    <w:rPr>
      <w:b/>
      <w:bCs/>
      <w:sz w:val="20"/>
      <w:szCs w:val="20"/>
    </w:rPr>
  </w:style>
  <w:style w:type="character" w:customStyle="1" w:styleId="CommentSubjectChar">
    <w:name w:val="Comment Subject Char"/>
    <w:basedOn w:val="CommentTextChar"/>
    <w:link w:val="CommentSubject"/>
    <w:uiPriority w:val="99"/>
    <w:semiHidden/>
    <w:rsid w:val="00A3602C"/>
    <w:rPr>
      <w:b/>
      <w:bCs/>
      <w:sz w:val="20"/>
      <w:szCs w:val="24"/>
    </w:rPr>
  </w:style>
  <w:style w:type="paragraph" w:styleId="Revision">
    <w:name w:val="Revision"/>
    <w:hidden/>
    <w:uiPriority w:val="99"/>
    <w:semiHidden/>
    <w:rsid w:val="001B1E5B"/>
    <w:pPr>
      <w:spacing w:line="240" w:lineRule="auto"/>
    </w:pPr>
  </w:style>
  <w:style w:type="paragraph" w:styleId="ListParagraph">
    <w:name w:val="List Paragraph"/>
    <w:basedOn w:val="Normal"/>
    <w:uiPriority w:val="34"/>
    <w:qFormat/>
    <w:rsid w:val="002F0F9C"/>
    <w:pPr>
      <w:ind w:left="720"/>
      <w:contextualSpacing/>
    </w:pPr>
  </w:style>
  <w:style w:type="paragraph" w:customStyle="1" w:styleId="zzCover">
    <w:name w:val="zzCover"/>
    <w:basedOn w:val="Normal"/>
    <w:rsid w:val="007D3005"/>
    <w:pPr>
      <w:spacing w:after="220" w:line="240" w:lineRule="auto"/>
      <w:jc w:val="right"/>
    </w:pPr>
    <w:rPr>
      <w:rFonts w:ascii="Times" w:eastAsia="Times New Roman" w:hAnsi="Times" w:cs="Times New Roman"/>
      <w:color w:val="auto"/>
      <w:sz w:val="20"/>
      <w:lang w:val="en-GB"/>
    </w:rPr>
  </w:style>
  <w:style w:type="paragraph" w:customStyle="1" w:styleId="zzCopyright">
    <w:name w:val="zzCopyright"/>
    <w:basedOn w:val="Normal"/>
    <w:next w:val="Normal"/>
    <w:rsid w:val="00DA5FB4"/>
    <w:pPr>
      <w:pBdr>
        <w:top w:val="single" w:sz="6" w:space="1" w:color="auto"/>
        <w:left w:val="single" w:sz="6" w:space="4" w:color="auto"/>
        <w:bottom w:val="single" w:sz="6" w:space="1" w:color="auto"/>
        <w:right w:val="single" w:sz="6" w:space="4" w:color="auto"/>
      </w:pBdr>
      <w:tabs>
        <w:tab w:val="left" w:pos="514"/>
        <w:tab w:val="left" w:pos="9623"/>
      </w:tabs>
      <w:spacing w:after="240" w:line="240" w:lineRule="auto"/>
      <w:ind w:left="284" w:right="284"/>
    </w:pPr>
    <w:rPr>
      <w:rFonts w:ascii="Times New Roman" w:eastAsia="Times New Roman" w:hAnsi="Times New Roman" w:cs="Times New Roman"/>
      <w:color w:val="0000FF"/>
      <w:sz w:val="24"/>
      <w:lang w:val="en-GB"/>
    </w:rPr>
  </w:style>
  <w:style w:type="character" w:styleId="Hyperlink">
    <w:name w:val="Hyperlink"/>
    <w:rsid w:val="00DA5FB4"/>
    <w:rPr>
      <w:color w:val="0000FF"/>
      <w:u w:val="single"/>
    </w:rPr>
  </w:style>
  <w:style w:type="paragraph" w:styleId="Header">
    <w:name w:val="header"/>
    <w:basedOn w:val="Normal"/>
    <w:link w:val="HeaderChar"/>
    <w:uiPriority w:val="99"/>
    <w:unhideWhenUsed/>
    <w:rsid w:val="00DA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B4"/>
  </w:style>
  <w:style w:type="paragraph" w:styleId="Footer">
    <w:name w:val="footer"/>
    <w:basedOn w:val="Normal"/>
    <w:link w:val="FooterChar"/>
    <w:unhideWhenUsed/>
    <w:rsid w:val="00DA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B4"/>
  </w:style>
  <w:style w:type="paragraph" w:styleId="TOC1">
    <w:name w:val="toc 1"/>
    <w:basedOn w:val="Normal"/>
    <w:next w:val="Normal"/>
    <w:uiPriority w:val="39"/>
    <w:rsid w:val="00CD5D6F"/>
    <w:pPr>
      <w:spacing w:before="40" w:after="40" w:line="240" w:lineRule="auto"/>
    </w:pPr>
    <w:rPr>
      <w:rFonts w:eastAsia="Times New Roman" w:cs="Times New Roman"/>
      <w:b/>
      <w:noProof/>
      <w:color w:val="auto"/>
      <w:sz w:val="24"/>
      <w:lang w:val="de-DE"/>
    </w:rPr>
  </w:style>
  <w:style w:type="paragraph" w:styleId="TOC2">
    <w:name w:val="toc 2"/>
    <w:basedOn w:val="Normal"/>
    <w:next w:val="Normal"/>
    <w:uiPriority w:val="39"/>
    <w:rsid w:val="00CD5D6F"/>
    <w:pPr>
      <w:spacing w:after="0" w:line="240" w:lineRule="auto"/>
      <w:ind w:left="202"/>
    </w:pPr>
    <w:rPr>
      <w:rFonts w:ascii="Times New Roman" w:eastAsia="Times New Roman" w:hAnsi="Times New Roman" w:cs="Times New Roman"/>
      <w:b/>
      <w:noProof/>
      <w:color w:val="auto"/>
      <w:sz w:val="20"/>
      <w:lang w:val="de-DE"/>
    </w:rPr>
  </w:style>
  <w:style w:type="character" w:styleId="PageNumber">
    <w:name w:val="page number"/>
    <w:basedOn w:val="DefaultParagraphFont"/>
    <w:rsid w:val="00CD5D6F"/>
  </w:style>
  <w:style w:type="paragraph" w:customStyle="1" w:styleId="OGCClause">
    <w:name w:val="OGC Clause"/>
    <w:basedOn w:val="Normal"/>
    <w:next w:val="Normal"/>
    <w:rsid w:val="00CD5D6F"/>
    <w:pPr>
      <w:keepNext/>
      <w:numPr>
        <w:numId w:val="1"/>
      </w:numPr>
      <w:tabs>
        <w:tab w:val="left" w:pos="400"/>
      </w:tabs>
      <w:suppressAutoHyphens/>
      <w:spacing w:before="960" w:after="310" w:line="240" w:lineRule="auto"/>
      <w:ind w:left="0" w:firstLine="0"/>
    </w:pPr>
    <w:rPr>
      <w:rFonts w:ascii="Times New Roman" w:eastAsia="Times New Roman" w:hAnsi="Times New Roman" w:cs="Times New Roman"/>
      <w:b/>
      <w:noProof/>
      <w:color w:val="auto"/>
      <w:sz w:val="28"/>
      <w:lang w:val="de-DE"/>
    </w:rPr>
  </w:style>
  <w:style w:type="paragraph" w:customStyle="1" w:styleId="OGCtableheader">
    <w:name w:val="OGC table header"/>
    <w:basedOn w:val="BodyTextIndent"/>
    <w:rsid w:val="00CD5D6F"/>
    <w:pPr>
      <w:suppressAutoHyphens/>
      <w:spacing w:before="60" w:after="60" w:line="208" w:lineRule="auto"/>
      <w:ind w:left="0"/>
      <w:jc w:val="center"/>
    </w:pPr>
    <w:rPr>
      <w:rFonts w:ascii="Times New Roman" w:eastAsia="Times New Roman" w:hAnsi="Times New Roman" w:cs="Times New Roman"/>
      <w:b/>
      <w:noProof/>
      <w:color w:val="auto"/>
      <w:lang w:val="de-DE"/>
    </w:rPr>
  </w:style>
  <w:style w:type="paragraph" w:customStyle="1" w:styleId="OGCtabletext">
    <w:name w:val="OGC table text"/>
    <w:basedOn w:val="OGCtableheader"/>
    <w:rsid w:val="00CD5D6F"/>
    <w:pPr>
      <w:jc w:val="left"/>
    </w:pPr>
    <w:rPr>
      <w:b w:val="0"/>
    </w:rPr>
  </w:style>
  <w:style w:type="paragraph" w:styleId="BodyTextIndent">
    <w:name w:val="Body Text Indent"/>
    <w:basedOn w:val="Normal"/>
    <w:link w:val="BodyTextIndentChar"/>
    <w:uiPriority w:val="99"/>
    <w:semiHidden/>
    <w:unhideWhenUsed/>
    <w:rsid w:val="00CD5D6F"/>
    <w:pPr>
      <w:ind w:left="283"/>
    </w:pPr>
  </w:style>
  <w:style w:type="character" w:customStyle="1" w:styleId="BodyTextIndentChar">
    <w:name w:val="Body Text Indent Char"/>
    <w:basedOn w:val="DefaultParagraphFont"/>
    <w:link w:val="BodyTextIndent"/>
    <w:uiPriority w:val="99"/>
    <w:semiHidden/>
    <w:rsid w:val="00CD5D6F"/>
  </w:style>
  <w:style w:type="paragraph" w:styleId="TOC3">
    <w:name w:val="toc 3"/>
    <w:basedOn w:val="Normal"/>
    <w:next w:val="Normal"/>
    <w:autoRedefine/>
    <w:uiPriority w:val="39"/>
    <w:unhideWhenUsed/>
    <w:rsid w:val="000F2FFE"/>
    <w:pPr>
      <w:ind w:left="440"/>
    </w:pPr>
  </w:style>
  <w:style w:type="paragraph" w:styleId="TOC4">
    <w:name w:val="toc 4"/>
    <w:basedOn w:val="Normal"/>
    <w:next w:val="Normal"/>
    <w:autoRedefine/>
    <w:uiPriority w:val="39"/>
    <w:unhideWhenUsed/>
    <w:rsid w:val="000F2FFE"/>
    <w:pPr>
      <w:ind w:left="660"/>
    </w:pPr>
  </w:style>
  <w:style w:type="paragraph" w:styleId="TOC5">
    <w:name w:val="toc 5"/>
    <w:basedOn w:val="Normal"/>
    <w:next w:val="Normal"/>
    <w:autoRedefine/>
    <w:uiPriority w:val="39"/>
    <w:unhideWhenUsed/>
    <w:rsid w:val="000F2FFE"/>
    <w:pPr>
      <w:ind w:left="880"/>
    </w:pPr>
  </w:style>
  <w:style w:type="paragraph" w:styleId="TOC6">
    <w:name w:val="toc 6"/>
    <w:basedOn w:val="Normal"/>
    <w:next w:val="Normal"/>
    <w:autoRedefine/>
    <w:uiPriority w:val="39"/>
    <w:unhideWhenUsed/>
    <w:rsid w:val="000F2FFE"/>
    <w:pPr>
      <w:ind w:left="1100"/>
    </w:pPr>
  </w:style>
  <w:style w:type="paragraph" w:styleId="TOC7">
    <w:name w:val="toc 7"/>
    <w:basedOn w:val="Normal"/>
    <w:next w:val="Normal"/>
    <w:autoRedefine/>
    <w:uiPriority w:val="39"/>
    <w:unhideWhenUsed/>
    <w:rsid w:val="000F2FFE"/>
    <w:pPr>
      <w:ind w:left="1320"/>
    </w:pPr>
  </w:style>
  <w:style w:type="paragraph" w:styleId="TOC8">
    <w:name w:val="toc 8"/>
    <w:basedOn w:val="Normal"/>
    <w:next w:val="Normal"/>
    <w:autoRedefine/>
    <w:uiPriority w:val="39"/>
    <w:unhideWhenUsed/>
    <w:rsid w:val="000F2FFE"/>
    <w:pPr>
      <w:ind w:left="1540"/>
    </w:pPr>
  </w:style>
  <w:style w:type="paragraph" w:styleId="TOC9">
    <w:name w:val="toc 9"/>
    <w:basedOn w:val="Normal"/>
    <w:next w:val="Normal"/>
    <w:autoRedefine/>
    <w:uiPriority w:val="39"/>
    <w:unhideWhenUsed/>
    <w:rsid w:val="000F2FFE"/>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al.opengeospatial.org/files/40805" TargetMode="Externa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2054</Words>
  <Characters>11713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Greg Buehler</cp:lastModifiedBy>
  <cp:revision>2</cp:revision>
  <dcterms:created xsi:type="dcterms:W3CDTF">2015-08-13T22:07:00Z</dcterms:created>
  <dcterms:modified xsi:type="dcterms:W3CDTF">2015-08-13T22:07:00Z</dcterms:modified>
</cp:coreProperties>
</file>