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80E6E" w14:textId="77777777" w:rsidR="00C414E5" w:rsidRDefault="008B076E">
      <w:pPr>
        <w:pStyle w:val="Title"/>
      </w:pPr>
      <w:bookmarkStart w:id="0" w:name="_GoBack"/>
      <w:bookmarkEnd w:id="0"/>
      <w:r>
        <w:t xml:space="preserve">The </w:t>
      </w:r>
      <w:r w:rsidR="00C414E5">
        <w:t>O</w:t>
      </w:r>
      <w:bookmarkStart w:id="1" w:name="_Ref195229549"/>
      <w:bookmarkEnd w:id="1"/>
      <w:r w:rsidR="00C414E5">
        <w:t>pen Geospatial Consortium</w:t>
      </w:r>
      <w:r>
        <w:t xml:space="preserve"> (OGC®)</w:t>
      </w:r>
    </w:p>
    <w:p w14:paraId="030E9697" w14:textId="77777777" w:rsidR="008B076E" w:rsidRDefault="008B076E">
      <w:pPr>
        <w:pStyle w:val="Subtitle"/>
      </w:pPr>
      <w:bookmarkStart w:id="2" w:name="_Toc85280772"/>
      <w:bookmarkStart w:id="3" w:name="_Toc85357716"/>
      <w:bookmarkStart w:id="4" w:name="_Toc85366972"/>
      <w:bookmarkStart w:id="5" w:name="_Toc85447421"/>
      <w:bookmarkStart w:id="6" w:name="_Toc127612485"/>
      <w:bookmarkStart w:id="7" w:name="_Toc127761156"/>
      <w:bookmarkStart w:id="8" w:name="_Toc127762541"/>
      <w:bookmarkStart w:id="9" w:name="_Toc35536613"/>
      <w:bookmarkStart w:id="10" w:name="_Toc35536711"/>
      <w:bookmarkStart w:id="11" w:name="_Toc35536791"/>
      <w:bookmarkStart w:id="12" w:name="_Toc395510478"/>
    </w:p>
    <w:p w14:paraId="61B3BF73" w14:textId="77777777" w:rsidR="008B076E" w:rsidRDefault="008B076E">
      <w:pPr>
        <w:pStyle w:val="Subtitle"/>
      </w:pPr>
    </w:p>
    <w:p w14:paraId="47C47925" w14:textId="77777777" w:rsidR="008B076E" w:rsidRDefault="008B076E">
      <w:pPr>
        <w:pStyle w:val="Subtitle"/>
      </w:pPr>
    </w:p>
    <w:bookmarkEnd w:id="2"/>
    <w:bookmarkEnd w:id="3"/>
    <w:bookmarkEnd w:id="4"/>
    <w:bookmarkEnd w:id="5"/>
    <w:bookmarkEnd w:id="6"/>
    <w:bookmarkEnd w:id="7"/>
    <w:bookmarkEnd w:id="8"/>
    <w:bookmarkEnd w:id="9"/>
    <w:bookmarkEnd w:id="10"/>
    <w:bookmarkEnd w:id="11"/>
    <w:bookmarkEnd w:id="12"/>
    <w:p w14:paraId="57684D2B" w14:textId="4655A0B1" w:rsidR="00C414E5" w:rsidRDefault="00C414E5">
      <w:pPr>
        <w:pStyle w:val="Subtitle"/>
      </w:pPr>
    </w:p>
    <w:p w14:paraId="57654476" w14:textId="77777777" w:rsidR="00C414E5" w:rsidRDefault="00C414E5">
      <w:pPr>
        <w:pStyle w:val="Subtitle"/>
      </w:pPr>
    </w:p>
    <w:p w14:paraId="6300348A" w14:textId="77777777" w:rsidR="00C414E5" w:rsidRDefault="00C414E5">
      <w:pPr>
        <w:pStyle w:val="Subtitle"/>
      </w:pPr>
    </w:p>
    <w:p w14:paraId="19EC6B86" w14:textId="77777777" w:rsidR="00C414E5" w:rsidRDefault="00C414E5">
      <w:pPr>
        <w:pStyle w:val="Title"/>
      </w:pPr>
      <w:bookmarkStart w:id="13" w:name="_Toc85280775"/>
      <w:bookmarkStart w:id="14" w:name="_Toc85357719"/>
      <w:bookmarkStart w:id="15" w:name="_Toc85366975"/>
      <w:bookmarkStart w:id="16" w:name="_Toc85447424"/>
      <w:bookmarkStart w:id="17" w:name="_Toc127612488"/>
      <w:bookmarkStart w:id="18" w:name="_Toc127761159"/>
      <w:bookmarkStart w:id="19" w:name="_Toc127762544"/>
      <w:bookmarkStart w:id="20" w:name="_Toc35536616"/>
      <w:bookmarkStart w:id="21" w:name="_Toc35536714"/>
      <w:bookmarkStart w:id="22" w:name="_Toc35536794"/>
      <w:r>
        <w:t>Request For Quotation</w:t>
      </w:r>
      <w:bookmarkEnd w:id="13"/>
      <w:bookmarkEnd w:id="14"/>
      <w:bookmarkEnd w:id="15"/>
      <w:bookmarkEnd w:id="16"/>
      <w:bookmarkEnd w:id="17"/>
      <w:bookmarkEnd w:id="18"/>
      <w:bookmarkEnd w:id="19"/>
      <w:bookmarkEnd w:id="20"/>
      <w:bookmarkEnd w:id="21"/>
      <w:bookmarkEnd w:id="22"/>
      <w:r>
        <w:t xml:space="preserve"> </w:t>
      </w:r>
    </w:p>
    <w:p w14:paraId="1DE5C1E8" w14:textId="77777777" w:rsidR="00C414E5" w:rsidRDefault="00C414E5">
      <w:pPr>
        <w:pStyle w:val="Title"/>
      </w:pPr>
      <w:bookmarkStart w:id="23" w:name="_Toc85280776"/>
      <w:bookmarkStart w:id="24" w:name="_Toc85357720"/>
      <w:bookmarkStart w:id="25" w:name="_Toc85366976"/>
      <w:bookmarkStart w:id="26" w:name="_Toc85447425"/>
      <w:bookmarkStart w:id="27" w:name="_Toc127612489"/>
      <w:bookmarkStart w:id="28" w:name="_Toc127761160"/>
      <w:bookmarkStart w:id="29" w:name="_Toc127762545"/>
      <w:bookmarkStart w:id="30" w:name="_Toc35536617"/>
      <w:bookmarkStart w:id="31" w:name="_Toc35536715"/>
      <w:bookmarkStart w:id="32" w:name="_Toc35536795"/>
      <w:r>
        <w:t>And</w:t>
      </w:r>
      <w:bookmarkEnd w:id="23"/>
      <w:bookmarkEnd w:id="24"/>
      <w:bookmarkEnd w:id="25"/>
      <w:bookmarkEnd w:id="26"/>
      <w:bookmarkEnd w:id="27"/>
      <w:bookmarkEnd w:id="28"/>
      <w:bookmarkEnd w:id="29"/>
      <w:bookmarkEnd w:id="30"/>
      <w:bookmarkEnd w:id="31"/>
      <w:bookmarkEnd w:id="32"/>
    </w:p>
    <w:p w14:paraId="124CAD09" w14:textId="77777777" w:rsidR="00C414E5" w:rsidRDefault="00C414E5">
      <w:pPr>
        <w:pStyle w:val="Title"/>
      </w:pPr>
      <w:bookmarkStart w:id="33" w:name="_Toc85280777"/>
      <w:bookmarkStart w:id="34" w:name="_Toc85357721"/>
      <w:bookmarkStart w:id="35" w:name="_Toc85366977"/>
      <w:bookmarkStart w:id="36" w:name="_Toc85447426"/>
      <w:bookmarkStart w:id="37" w:name="_Toc127612490"/>
      <w:bookmarkStart w:id="38" w:name="_Toc127761161"/>
      <w:bookmarkStart w:id="39" w:name="_Toc127762546"/>
      <w:bookmarkStart w:id="40" w:name="_Toc35536618"/>
      <w:bookmarkStart w:id="41" w:name="_Toc35536716"/>
      <w:bookmarkStart w:id="42" w:name="_Toc35536796"/>
      <w:r>
        <w:t>Call For Participation</w:t>
      </w:r>
      <w:bookmarkEnd w:id="33"/>
      <w:bookmarkEnd w:id="34"/>
      <w:bookmarkEnd w:id="35"/>
      <w:bookmarkEnd w:id="36"/>
      <w:bookmarkEnd w:id="37"/>
      <w:bookmarkEnd w:id="38"/>
      <w:bookmarkEnd w:id="39"/>
      <w:bookmarkEnd w:id="40"/>
      <w:bookmarkEnd w:id="41"/>
      <w:bookmarkEnd w:id="42"/>
      <w:r>
        <w:t xml:space="preserve"> </w:t>
      </w:r>
    </w:p>
    <w:p w14:paraId="2296FE40" w14:textId="77777777" w:rsidR="00C414E5" w:rsidRDefault="00C414E5">
      <w:pPr>
        <w:pStyle w:val="Title"/>
      </w:pPr>
      <w:bookmarkStart w:id="43" w:name="_Toc85280778"/>
      <w:bookmarkStart w:id="44" w:name="_Toc85357722"/>
      <w:bookmarkStart w:id="45" w:name="_Toc85366978"/>
      <w:bookmarkStart w:id="46" w:name="_Toc85447427"/>
      <w:bookmarkStart w:id="47" w:name="_Toc127612491"/>
      <w:bookmarkStart w:id="48" w:name="_Toc127761162"/>
      <w:bookmarkStart w:id="49" w:name="_Toc127762547"/>
      <w:bookmarkStart w:id="50" w:name="_Toc35536619"/>
      <w:bookmarkStart w:id="51" w:name="_Toc35536717"/>
      <w:bookmarkStart w:id="52" w:name="_Toc35536797"/>
      <w:r>
        <w:t>In the</w:t>
      </w:r>
      <w:bookmarkEnd w:id="43"/>
      <w:bookmarkEnd w:id="44"/>
      <w:bookmarkEnd w:id="45"/>
      <w:bookmarkEnd w:id="46"/>
      <w:bookmarkEnd w:id="47"/>
      <w:bookmarkEnd w:id="48"/>
      <w:bookmarkEnd w:id="49"/>
      <w:bookmarkEnd w:id="50"/>
      <w:bookmarkEnd w:id="51"/>
      <w:bookmarkEnd w:id="52"/>
      <w:r>
        <w:t xml:space="preserve"> </w:t>
      </w:r>
    </w:p>
    <w:p w14:paraId="15A497C6" w14:textId="77777777" w:rsidR="00C414E5" w:rsidRPr="008B076E" w:rsidRDefault="00EF340B" w:rsidP="0068741D">
      <w:pPr>
        <w:pStyle w:val="Title"/>
        <w:rPr>
          <w:sz w:val="36"/>
        </w:rPr>
      </w:pPr>
      <w:bookmarkStart w:id="53" w:name="_Toc35536620"/>
      <w:bookmarkStart w:id="54" w:name="_Toc35536718"/>
      <w:bookmarkStart w:id="55" w:name="_Toc35536798"/>
      <w:bookmarkStart w:id="56" w:name="_Toc85280780"/>
      <w:bookmarkStart w:id="57" w:name="_Toc85357724"/>
      <w:bookmarkStart w:id="58" w:name="_Toc85366980"/>
      <w:bookmarkStart w:id="59" w:name="_Toc85447429"/>
      <w:bookmarkStart w:id="60" w:name="_Toc127612493"/>
      <w:r>
        <w:rPr>
          <w:smallCaps/>
          <w:sz w:val="36"/>
        </w:rPr>
        <w:t>Incident Management Information Sharing  (IMIS) Internet of Things (IoT) Pilot</w:t>
      </w:r>
      <w:bookmarkEnd w:id="53"/>
      <w:bookmarkEnd w:id="54"/>
      <w:bookmarkEnd w:id="55"/>
    </w:p>
    <w:p w14:paraId="665F3515" w14:textId="23AB0BC1" w:rsidR="00C414E5" w:rsidRDefault="00792C7F" w:rsidP="00EB2E3B">
      <w:pPr>
        <w:pStyle w:val="Title"/>
        <w:tabs>
          <w:tab w:val="left" w:pos="1586"/>
          <w:tab w:val="center" w:pos="4680"/>
        </w:tabs>
        <w:jc w:val="left"/>
      </w:pPr>
      <w:bookmarkStart w:id="61" w:name="_Toc127761164"/>
      <w:bookmarkStart w:id="62" w:name="_Toc127762549"/>
      <w:bookmarkStart w:id="63" w:name="_Toc35536719"/>
      <w:bookmarkStart w:id="64" w:name="_Toc35536799"/>
      <w:r>
        <w:tab/>
      </w:r>
      <w:r>
        <w:tab/>
      </w:r>
      <w:r w:rsidR="00C414E5">
        <w:t xml:space="preserve">Annex B: </w:t>
      </w:r>
      <w:r w:rsidR="007542A6">
        <w:t xml:space="preserve">Technical </w:t>
      </w:r>
      <w:r w:rsidR="00C414E5">
        <w:t>Architecture</w:t>
      </w:r>
      <w:bookmarkEnd w:id="56"/>
      <w:bookmarkEnd w:id="57"/>
      <w:bookmarkEnd w:id="58"/>
      <w:bookmarkEnd w:id="59"/>
      <w:bookmarkEnd w:id="60"/>
      <w:bookmarkEnd w:id="61"/>
      <w:bookmarkEnd w:id="62"/>
      <w:bookmarkEnd w:id="63"/>
      <w:bookmarkEnd w:id="64"/>
    </w:p>
    <w:p w14:paraId="6D8462A2" w14:textId="77777777" w:rsidR="00C414E5" w:rsidRDefault="00C414E5" w:rsidP="00540A2E">
      <w:pPr>
        <w:pStyle w:val="Title"/>
        <w:jc w:val="left"/>
      </w:pPr>
    </w:p>
    <w:p w14:paraId="0AC8D24C" w14:textId="77777777" w:rsidR="00C414E5" w:rsidRDefault="00C414E5" w:rsidP="00540A2E">
      <w:pPr>
        <w:pStyle w:val="Title"/>
      </w:pPr>
    </w:p>
    <w:p w14:paraId="55386162" w14:textId="77777777" w:rsidR="00C414E5" w:rsidRDefault="00C414E5" w:rsidP="00872AD5">
      <w:pPr>
        <w:pStyle w:val="Title"/>
      </w:pPr>
    </w:p>
    <w:p w14:paraId="6EFCDA25" w14:textId="608C693D" w:rsidR="00C414E5" w:rsidRDefault="00C414E5" w:rsidP="00EB2E3B">
      <w:pPr>
        <w:pStyle w:val="Subtitle"/>
      </w:pPr>
      <w:bookmarkStart w:id="65" w:name="_Toc35536721"/>
      <w:bookmarkStart w:id="66" w:name="_Toc35536801"/>
      <w:r>
        <w:t xml:space="preserve">RFQ Issuance Date: </w:t>
      </w:r>
      <w:bookmarkEnd w:id="65"/>
      <w:bookmarkEnd w:id="66"/>
      <w:r w:rsidR="00320B35">
        <w:fldChar w:fldCharType="begin"/>
      </w:r>
      <w:r w:rsidR="00320B35">
        <w:instrText xml:space="preserve"> DOCPROPERTY "_RFQReleaseDate"  \* MERGEFORMAT </w:instrText>
      </w:r>
      <w:r w:rsidR="00320B35">
        <w:fldChar w:fldCharType="separate"/>
      </w:r>
      <w:r w:rsidR="00167A93">
        <w:t>22 April 2015</w:t>
      </w:r>
      <w:r w:rsidR="00320B35">
        <w:fldChar w:fldCharType="end"/>
      </w:r>
    </w:p>
    <w:p w14:paraId="7549ACB5" w14:textId="05AE2CD2" w:rsidR="00C414E5" w:rsidRDefault="00C414E5" w:rsidP="00EB2E3B">
      <w:pPr>
        <w:pStyle w:val="Subtitle"/>
      </w:pPr>
      <w:bookmarkStart w:id="67" w:name="_Toc35536722"/>
      <w:bookmarkStart w:id="68" w:name="_Toc35536802"/>
      <w:r>
        <w:t xml:space="preserve">Proposal Due Date: </w:t>
      </w:r>
      <w:bookmarkEnd w:id="67"/>
      <w:bookmarkEnd w:id="68"/>
      <w:r w:rsidR="00320B35">
        <w:fldChar w:fldCharType="begin"/>
      </w:r>
      <w:r w:rsidR="00320B35">
        <w:instrText xml:space="preserve"> DOCPROPERTY "_ProposalDueDate"  \* MERGEFORMAT </w:instrText>
      </w:r>
      <w:r w:rsidR="00320B35">
        <w:fldChar w:fldCharType="separate"/>
      </w:r>
      <w:r w:rsidR="00167A93">
        <w:t>22 May 2015</w:t>
      </w:r>
      <w:r w:rsidR="00320B35">
        <w:fldChar w:fldCharType="end"/>
      </w:r>
    </w:p>
    <w:p w14:paraId="267391EB" w14:textId="77777777" w:rsidR="00C414E5" w:rsidRDefault="00C414E5" w:rsidP="005C31EE">
      <w:pPr>
        <w:pStyle w:val="Subtitle"/>
        <w:jc w:val="left"/>
      </w:pPr>
    </w:p>
    <w:p w14:paraId="3AB1A915" w14:textId="77777777" w:rsidR="00C414E5" w:rsidRDefault="00C414E5" w:rsidP="00A82237">
      <w:pPr>
        <w:pStyle w:val="TOCHeading"/>
        <w:spacing w:before="80" w:after="80"/>
        <w:rPr>
          <w:sz w:val="24"/>
        </w:rPr>
        <w:sectPr w:rsidR="00C414E5" w:rsidSect="00662351">
          <w:headerReference w:type="even" r:id="rId9"/>
          <w:headerReference w:type="default" r:id="rId10"/>
          <w:footerReference w:type="even" r:id="rId11"/>
          <w:footerReference w:type="default" r:id="rId12"/>
          <w:pgSz w:w="12240" w:h="15840"/>
          <w:pgMar w:top="1440" w:right="1440" w:bottom="1440" w:left="1440" w:header="720" w:footer="864" w:gutter="0"/>
          <w:cols w:space="720"/>
          <w:titlePg/>
          <w:docGrid w:linePitch="360"/>
        </w:sectPr>
      </w:pPr>
      <w:bookmarkStart w:id="85" w:name="_Toc520595063"/>
      <w:bookmarkStart w:id="86" w:name="_Toc520597982"/>
      <w:bookmarkStart w:id="87" w:name="_Toc720643"/>
      <w:bookmarkStart w:id="88" w:name="_Toc765123"/>
      <w:bookmarkStart w:id="89" w:name="_Toc3305826"/>
      <w:bookmarkStart w:id="90" w:name="_Toc3361377"/>
      <w:bookmarkStart w:id="91" w:name="_Toc57101606"/>
      <w:bookmarkStart w:id="92" w:name="_Toc57106047"/>
      <w:bookmarkStart w:id="93" w:name="_Toc57381757"/>
      <w:bookmarkStart w:id="94" w:name="_Toc57434465"/>
      <w:bookmarkStart w:id="95" w:name="_Toc57451242"/>
      <w:bookmarkStart w:id="96" w:name="_Toc57453328"/>
      <w:bookmarkStart w:id="97" w:name="_Toc57456666"/>
      <w:bookmarkStart w:id="98" w:name="_Toc85280783"/>
      <w:bookmarkStart w:id="99" w:name="_Toc85357727"/>
      <w:bookmarkStart w:id="100" w:name="_Toc85366983"/>
      <w:bookmarkStart w:id="101" w:name="_Toc85447432"/>
      <w:bookmarkStart w:id="102" w:name="_Toc127612496"/>
      <w:bookmarkStart w:id="103" w:name="_Toc127761168"/>
      <w:bookmarkStart w:id="104" w:name="_Toc127762553"/>
      <w:bookmarkStart w:id="105" w:name="_Toc35536804"/>
    </w:p>
    <w:p w14:paraId="4CB053C2" w14:textId="77777777" w:rsidR="00C414E5" w:rsidRDefault="00C414E5" w:rsidP="00A82237">
      <w:pPr>
        <w:pStyle w:val="TOCHeading"/>
        <w:spacing w:before="80" w:after="80"/>
      </w:pPr>
      <w:r>
        <w:lastRenderedPageBreak/>
        <w:t>Table Of Contents</w:t>
      </w:r>
      <w:bookmarkEnd w:id="85"/>
    </w:p>
    <w:p w14:paraId="238A1E1B" w14:textId="77777777" w:rsidR="00C414E5" w:rsidRDefault="00C414E5" w:rsidP="00A82237"/>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14:paraId="6140D2CC" w14:textId="77777777" w:rsidR="00167A93" w:rsidRDefault="004F2DC6">
      <w:pPr>
        <w:pStyle w:val="TOC1"/>
        <w:tabs>
          <w:tab w:val="left" w:pos="373"/>
          <w:tab w:val="right" w:leader="dot" w:pos="9350"/>
        </w:tabs>
        <w:rPr>
          <w:rFonts w:asciiTheme="minorHAnsi" w:eastAsiaTheme="minorEastAsia" w:hAnsiTheme="minorHAnsi" w:cstheme="minorBidi"/>
          <w:b w:val="0"/>
          <w:szCs w:val="24"/>
          <w:lang w:eastAsia="ja-JP"/>
        </w:rPr>
      </w:pPr>
      <w:r>
        <w:rPr>
          <w:b w:val="0"/>
          <w:caps/>
          <w:sz w:val="28"/>
        </w:rPr>
        <w:fldChar w:fldCharType="begin"/>
      </w:r>
      <w:r>
        <w:rPr>
          <w:b w:val="0"/>
          <w:caps/>
          <w:sz w:val="28"/>
        </w:rPr>
        <w:instrText xml:space="preserve"> TOC \t "Heading 1,1,Heading 2,2,</w:instrText>
      </w:r>
      <w:r w:rsidR="00716B5D">
        <w:rPr>
          <w:b w:val="0"/>
          <w:caps/>
          <w:sz w:val="28"/>
        </w:rPr>
        <w:instrText>HEADING 3,3</w:instrText>
      </w:r>
      <w:r>
        <w:rPr>
          <w:b w:val="0"/>
          <w:caps/>
          <w:sz w:val="28"/>
        </w:rPr>
        <w:instrText xml:space="preserve">" </w:instrText>
      </w:r>
      <w:r>
        <w:rPr>
          <w:b w:val="0"/>
          <w:caps/>
          <w:sz w:val="28"/>
        </w:rPr>
        <w:fldChar w:fldCharType="separate"/>
      </w:r>
      <w:r w:rsidR="00167A93">
        <w:t>1</w:t>
      </w:r>
      <w:r w:rsidR="00167A93">
        <w:rPr>
          <w:rFonts w:asciiTheme="minorHAnsi" w:eastAsiaTheme="minorEastAsia" w:hAnsiTheme="minorHAnsi" w:cstheme="minorBidi"/>
          <w:b w:val="0"/>
          <w:szCs w:val="24"/>
          <w:lang w:eastAsia="ja-JP"/>
        </w:rPr>
        <w:tab/>
      </w:r>
      <w:r w:rsidR="00167A93">
        <w:t>Introduction</w:t>
      </w:r>
      <w:r w:rsidR="00167A93">
        <w:tab/>
      </w:r>
      <w:r w:rsidR="00167A93">
        <w:fldChar w:fldCharType="begin"/>
      </w:r>
      <w:r w:rsidR="00167A93">
        <w:instrText xml:space="preserve"> PAGEREF _Toc291251545 \h </w:instrText>
      </w:r>
      <w:r w:rsidR="00167A93">
        <w:fldChar w:fldCharType="separate"/>
      </w:r>
      <w:r w:rsidR="005F7546">
        <w:t>5</w:t>
      </w:r>
      <w:r w:rsidR="00167A93">
        <w:fldChar w:fldCharType="end"/>
      </w:r>
    </w:p>
    <w:p w14:paraId="0EE3B6A1"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1.1</w:t>
      </w:r>
      <w:r>
        <w:rPr>
          <w:rFonts w:asciiTheme="minorHAnsi" w:eastAsiaTheme="minorEastAsia" w:hAnsiTheme="minorHAnsi" w:cstheme="minorBidi"/>
          <w:b w:val="0"/>
          <w:sz w:val="24"/>
          <w:szCs w:val="24"/>
          <w:lang w:eastAsia="ja-JP"/>
        </w:rPr>
        <w:tab/>
      </w:r>
      <w:r>
        <w:t>Purpose</w:t>
      </w:r>
      <w:r>
        <w:tab/>
      </w:r>
      <w:r>
        <w:fldChar w:fldCharType="begin"/>
      </w:r>
      <w:r>
        <w:instrText xml:space="preserve"> PAGEREF _Toc291251546 \h </w:instrText>
      </w:r>
      <w:r>
        <w:fldChar w:fldCharType="separate"/>
      </w:r>
      <w:r w:rsidR="005F7546">
        <w:t>5</w:t>
      </w:r>
      <w:r>
        <w:fldChar w:fldCharType="end"/>
      </w:r>
    </w:p>
    <w:p w14:paraId="50E1E740"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1.2</w:t>
      </w:r>
      <w:r>
        <w:rPr>
          <w:rFonts w:asciiTheme="minorHAnsi" w:eastAsiaTheme="minorEastAsia" w:hAnsiTheme="minorHAnsi" w:cstheme="minorBidi"/>
          <w:b w:val="0"/>
          <w:sz w:val="24"/>
          <w:szCs w:val="24"/>
          <w:lang w:eastAsia="ja-JP"/>
        </w:rPr>
        <w:tab/>
      </w:r>
      <w:r>
        <w:t>About This Document</w:t>
      </w:r>
      <w:r>
        <w:tab/>
      </w:r>
      <w:r>
        <w:fldChar w:fldCharType="begin"/>
      </w:r>
      <w:r>
        <w:instrText xml:space="preserve"> PAGEREF _Toc291251547 \h </w:instrText>
      </w:r>
      <w:r>
        <w:fldChar w:fldCharType="separate"/>
      </w:r>
      <w:r w:rsidR="005F7546">
        <w:t>5</w:t>
      </w:r>
      <w:r>
        <w:fldChar w:fldCharType="end"/>
      </w:r>
    </w:p>
    <w:p w14:paraId="057154E6" w14:textId="77777777" w:rsidR="00167A93" w:rsidRDefault="00167A93">
      <w:pPr>
        <w:pStyle w:val="TOC1"/>
        <w:tabs>
          <w:tab w:val="left" w:pos="373"/>
          <w:tab w:val="right" w:leader="dot" w:pos="9350"/>
        </w:tabs>
        <w:rPr>
          <w:rFonts w:asciiTheme="minorHAnsi" w:eastAsiaTheme="minorEastAsia" w:hAnsiTheme="minorHAnsi" w:cstheme="minorBidi"/>
          <w:b w:val="0"/>
          <w:szCs w:val="24"/>
          <w:lang w:eastAsia="ja-JP"/>
        </w:rPr>
      </w:pPr>
      <w:r>
        <w:t>2</w:t>
      </w:r>
      <w:r>
        <w:rPr>
          <w:rFonts w:asciiTheme="minorHAnsi" w:eastAsiaTheme="minorEastAsia" w:hAnsiTheme="minorHAnsi" w:cstheme="minorBidi"/>
          <w:b w:val="0"/>
          <w:szCs w:val="24"/>
          <w:lang w:eastAsia="ja-JP"/>
        </w:rPr>
        <w:tab/>
      </w:r>
      <w:r>
        <w:t>IMIS IoT Functional Requirements</w:t>
      </w:r>
      <w:r>
        <w:tab/>
      </w:r>
      <w:r>
        <w:fldChar w:fldCharType="begin"/>
      </w:r>
      <w:r>
        <w:instrText xml:space="preserve"> PAGEREF _Toc291251548 \h </w:instrText>
      </w:r>
      <w:r>
        <w:fldChar w:fldCharType="separate"/>
      </w:r>
      <w:r w:rsidR="005F7546">
        <w:t>6</w:t>
      </w:r>
      <w:r>
        <w:fldChar w:fldCharType="end"/>
      </w:r>
    </w:p>
    <w:p w14:paraId="67D2BC71"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2.1</w:t>
      </w:r>
      <w:r>
        <w:rPr>
          <w:rFonts w:asciiTheme="minorHAnsi" w:eastAsiaTheme="minorEastAsia" w:hAnsiTheme="minorHAnsi" w:cstheme="minorBidi"/>
          <w:b w:val="0"/>
          <w:sz w:val="24"/>
          <w:szCs w:val="24"/>
          <w:lang w:eastAsia="ja-JP"/>
        </w:rPr>
        <w:tab/>
      </w:r>
      <w:r>
        <w:t>Deliverable Requirements</w:t>
      </w:r>
      <w:r>
        <w:tab/>
      </w:r>
      <w:r>
        <w:fldChar w:fldCharType="begin"/>
      </w:r>
      <w:r>
        <w:instrText xml:space="preserve"> PAGEREF _Toc291251549 \h </w:instrText>
      </w:r>
      <w:r>
        <w:fldChar w:fldCharType="separate"/>
      </w:r>
      <w:r w:rsidR="005F7546">
        <w:t>7</w:t>
      </w:r>
      <w:r>
        <w:fldChar w:fldCharType="end"/>
      </w:r>
    </w:p>
    <w:p w14:paraId="1A94206E"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2.1.1</w:t>
      </w:r>
      <w:r>
        <w:rPr>
          <w:rFonts w:asciiTheme="minorHAnsi" w:eastAsiaTheme="minorEastAsia" w:hAnsiTheme="minorHAnsi" w:cstheme="minorBidi"/>
          <w:i w:val="0"/>
          <w:sz w:val="24"/>
          <w:szCs w:val="24"/>
          <w:lang w:eastAsia="ja-JP"/>
        </w:rPr>
        <w:tab/>
      </w:r>
      <w:r>
        <w:t>Documentation Deliverables</w:t>
      </w:r>
      <w:r>
        <w:tab/>
      </w:r>
      <w:r>
        <w:fldChar w:fldCharType="begin"/>
      </w:r>
      <w:r>
        <w:instrText xml:space="preserve"> PAGEREF _Toc291251550 \h </w:instrText>
      </w:r>
      <w:r>
        <w:fldChar w:fldCharType="separate"/>
      </w:r>
      <w:r w:rsidR="005F7546">
        <w:t>7</w:t>
      </w:r>
      <w:r>
        <w:fldChar w:fldCharType="end"/>
      </w:r>
    </w:p>
    <w:p w14:paraId="3FACEC96"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2.1.2</w:t>
      </w:r>
      <w:r>
        <w:rPr>
          <w:rFonts w:asciiTheme="minorHAnsi" w:eastAsiaTheme="minorEastAsia" w:hAnsiTheme="minorHAnsi" w:cstheme="minorBidi"/>
          <w:i w:val="0"/>
          <w:sz w:val="24"/>
          <w:szCs w:val="24"/>
          <w:lang w:eastAsia="ja-JP"/>
        </w:rPr>
        <w:tab/>
      </w:r>
      <w:r>
        <w:t>IMIS IoT Component Deliverables</w:t>
      </w:r>
      <w:r>
        <w:tab/>
      </w:r>
      <w:r>
        <w:fldChar w:fldCharType="begin"/>
      </w:r>
      <w:r>
        <w:instrText xml:space="preserve"> PAGEREF _Toc291251551 \h </w:instrText>
      </w:r>
      <w:r>
        <w:fldChar w:fldCharType="separate"/>
      </w:r>
      <w:r w:rsidR="005F7546">
        <w:t>8</w:t>
      </w:r>
      <w:r>
        <w:fldChar w:fldCharType="end"/>
      </w:r>
    </w:p>
    <w:p w14:paraId="67FCFB0D" w14:textId="77777777" w:rsidR="00167A93" w:rsidRDefault="00167A93">
      <w:pPr>
        <w:pStyle w:val="TOC1"/>
        <w:tabs>
          <w:tab w:val="left" w:pos="373"/>
          <w:tab w:val="right" w:leader="dot" w:pos="9350"/>
        </w:tabs>
        <w:rPr>
          <w:rFonts w:asciiTheme="minorHAnsi" w:eastAsiaTheme="minorEastAsia" w:hAnsiTheme="minorHAnsi" w:cstheme="minorBidi"/>
          <w:b w:val="0"/>
          <w:szCs w:val="24"/>
          <w:lang w:eastAsia="ja-JP"/>
        </w:rPr>
      </w:pPr>
      <w:r>
        <w:t>3</w:t>
      </w:r>
      <w:r>
        <w:rPr>
          <w:rFonts w:asciiTheme="minorHAnsi" w:eastAsiaTheme="minorEastAsia" w:hAnsiTheme="minorHAnsi" w:cstheme="minorBidi"/>
          <w:b w:val="0"/>
          <w:szCs w:val="24"/>
          <w:lang w:eastAsia="ja-JP"/>
        </w:rPr>
        <w:tab/>
      </w:r>
      <w:r>
        <w:t>Enterprise Viewpoint: Context, Scenario, and Use Cases</w:t>
      </w:r>
      <w:r>
        <w:tab/>
      </w:r>
      <w:r>
        <w:fldChar w:fldCharType="begin"/>
      </w:r>
      <w:r>
        <w:instrText xml:space="preserve"> PAGEREF _Toc291251552 \h </w:instrText>
      </w:r>
      <w:r>
        <w:fldChar w:fldCharType="separate"/>
      </w:r>
      <w:r w:rsidR="005F7546">
        <w:t>10</w:t>
      </w:r>
      <w:r>
        <w:fldChar w:fldCharType="end"/>
      </w:r>
    </w:p>
    <w:p w14:paraId="6F380347"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3.1</w:t>
      </w:r>
      <w:r>
        <w:rPr>
          <w:rFonts w:asciiTheme="minorHAnsi" w:eastAsiaTheme="minorEastAsia" w:hAnsiTheme="minorHAnsi" w:cstheme="minorBidi"/>
          <w:b w:val="0"/>
          <w:sz w:val="24"/>
          <w:szCs w:val="24"/>
          <w:lang w:eastAsia="ja-JP"/>
        </w:rPr>
        <w:tab/>
      </w:r>
      <w:r>
        <w:t>Context of IMIS IoT</w:t>
      </w:r>
      <w:r>
        <w:tab/>
      </w:r>
      <w:r>
        <w:fldChar w:fldCharType="begin"/>
      </w:r>
      <w:r>
        <w:instrText xml:space="preserve"> PAGEREF _Toc291251553 \h </w:instrText>
      </w:r>
      <w:r>
        <w:fldChar w:fldCharType="separate"/>
      </w:r>
      <w:r w:rsidR="005F7546">
        <w:t>10</w:t>
      </w:r>
      <w:r>
        <w:fldChar w:fldCharType="end"/>
      </w:r>
    </w:p>
    <w:p w14:paraId="52E2A7AA"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3.2</w:t>
      </w:r>
      <w:r>
        <w:rPr>
          <w:rFonts w:asciiTheme="minorHAnsi" w:eastAsiaTheme="minorEastAsia" w:hAnsiTheme="minorHAnsi" w:cstheme="minorBidi"/>
          <w:b w:val="0"/>
          <w:sz w:val="24"/>
          <w:szCs w:val="24"/>
          <w:lang w:eastAsia="ja-JP"/>
        </w:rPr>
        <w:tab/>
      </w:r>
      <w:r>
        <w:t>Operational Context</w:t>
      </w:r>
      <w:r>
        <w:tab/>
      </w:r>
      <w:r>
        <w:fldChar w:fldCharType="begin"/>
      </w:r>
      <w:r>
        <w:instrText xml:space="preserve"> PAGEREF _Toc291251554 \h </w:instrText>
      </w:r>
      <w:r>
        <w:fldChar w:fldCharType="separate"/>
      </w:r>
      <w:r w:rsidR="005F7546">
        <w:t>10</w:t>
      </w:r>
      <w:r>
        <w:fldChar w:fldCharType="end"/>
      </w:r>
    </w:p>
    <w:p w14:paraId="5C46FBC0"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rsidRPr="00A530A5">
        <w:t>3.2.1</w:t>
      </w:r>
      <w:r>
        <w:rPr>
          <w:rFonts w:asciiTheme="minorHAnsi" w:eastAsiaTheme="minorEastAsia" w:hAnsiTheme="minorHAnsi" w:cstheme="minorBidi"/>
          <w:i w:val="0"/>
          <w:sz w:val="24"/>
          <w:szCs w:val="24"/>
          <w:lang w:eastAsia="ja-JP"/>
        </w:rPr>
        <w:tab/>
      </w:r>
      <w:r w:rsidRPr="00A530A5">
        <w:t>Pilot Scenario</w:t>
      </w:r>
      <w:r>
        <w:tab/>
      </w:r>
      <w:r>
        <w:fldChar w:fldCharType="begin"/>
      </w:r>
      <w:r>
        <w:instrText xml:space="preserve"> PAGEREF _Toc291251555 \h </w:instrText>
      </w:r>
      <w:r>
        <w:fldChar w:fldCharType="separate"/>
      </w:r>
      <w:r w:rsidR="005F7546">
        <w:t>10</w:t>
      </w:r>
      <w:r>
        <w:fldChar w:fldCharType="end"/>
      </w:r>
    </w:p>
    <w:p w14:paraId="2A34CA2B"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3.2.2</w:t>
      </w:r>
      <w:r>
        <w:rPr>
          <w:rFonts w:asciiTheme="minorHAnsi" w:eastAsiaTheme="minorEastAsia" w:hAnsiTheme="minorHAnsi" w:cstheme="minorBidi"/>
          <w:i w:val="0"/>
          <w:sz w:val="24"/>
          <w:szCs w:val="24"/>
          <w:lang w:eastAsia="ja-JP"/>
        </w:rPr>
        <w:tab/>
      </w:r>
      <w:r>
        <w:t>Use Cases</w:t>
      </w:r>
      <w:r>
        <w:tab/>
      </w:r>
      <w:r>
        <w:fldChar w:fldCharType="begin"/>
      </w:r>
      <w:r>
        <w:instrText xml:space="preserve"> PAGEREF _Toc291251556 \h </w:instrText>
      </w:r>
      <w:r>
        <w:fldChar w:fldCharType="separate"/>
      </w:r>
      <w:r w:rsidR="005F7546">
        <w:t>12</w:t>
      </w:r>
      <w:r>
        <w:fldChar w:fldCharType="end"/>
      </w:r>
    </w:p>
    <w:p w14:paraId="463CB028"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3.3</w:t>
      </w:r>
      <w:r>
        <w:rPr>
          <w:rFonts w:asciiTheme="minorHAnsi" w:eastAsiaTheme="minorEastAsia" w:hAnsiTheme="minorHAnsi" w:cstheme="minorBidi"/>
          <w:b w:val="0"/>
          <w:sz w:val="24"/>
          <w:szCs w:val="24"/>
          <w:lang w:eastAsia="ja-JP"/>
        </w:rPr>
        <w:tab/>
      </w:r>
      <w:r>
        <w:t>Technical Context</w:t>
      </w:r>
      <w:r>
        <w:tab/>
      </w:r>
      <w:r>
        <w:fldChar w:fldCharType="begin"/>
      </w:r>
      <w:r>
        <w:instrText xml:space="preserve"> PAGEREF _Toc291251557 \h </w:instrText>
      </w:r>
      <w:r>
        <w:fldChar w:fldCharType="separate"/>
      </w:r>
      <w:r w:rsidR="005F7546">
        <w:t>16</w:t>
      </w:r>
      <w:r>
        <w:fldChar w:fldCharType="end"/>
      </w:r>
    </w:p>
    <w:p w14:paraId="213ED4E3" w14:textId="77777777" w:rsidR="00167A93" w:rsidRDefault="00167A93">
      <w:pPr>
        <w:pStyle w:val="TOC1"/>
        <w:tabs>
          <w:tab w:val="left" w:pos="373"/>
          <w:tab w:val="right" w:leader="dot" w:pos="9350"/>
        </w:tabs>
        <w:rPr>
          <w:rFonts w:asciiTheme="minorHAnsi" w:eastAsiaTheme="minorEastAsia" w:hAnsiTheme="minorHAnsi" w:cstheme="minorBidi"/>
          <w:b w:val="0"/>
          <w:szCs w:val="24"/>
          <w:lang w:eastAsia="ja-JP"/>
        </w:rPr>
      </w:pPr>
      <w:r>
        <w:t>4</w:t>
      </w:r>
      <w:r>
        <w:rPr>
          <w:rFonts w:asciiTheme="minorHAnsi" w:eastAsiaTheme="minorEastAsia" w:hAnsiTheme="minorHAnsi" w:cstheme="minorBidi"/>
          <w:b w:val="0"/>
          <w:szCs w:val="24"/>
          <w:lang w:eastAsia="ja-JP"/>
        </w:rPr>
        <w:tab/>
      </w:r>
      <w:r>
        <w:t>Information Viewpoint</w:t>
      </w:r>
      <w:r>
        <w:tab/>
      </w:r>
      <w:r>
        <w:fldChar w:fldCharType="begin"/>
      </w:r>
      <w:r>
        <w:instrText xml:space="preserve"> PAGEREF _Toc291251558 \h </w:instrText>
      </w:r>
      <w:r>
        <w:fldChar w:fldCharType="separate"/>
      </w:r>
      <w:r w:rsidR="005F7546">
        <w:t>17</w:t>
      </w:r>
      <w:r>
        <w:fldChar w:fldCharType="end"/>
      </w:r>
    </w:p>
    <w:p w14:paraId="0279C097"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4.1</w:t>
      </w:r>
      <w:r>
        <w:rPr>
          <w:rFonts w:asciiTheme="minorHAnsi" w:eastAsiaTheme="minorEastAsia" w:hAnsiTheme="minorHAnsi" w:cstheme="minorBidi"/>
          <w:b w:val="0"/>
          <w:sz w:val="24"/>
          <w:szCs w:val="24"/>
          <w:lang w:eastAsia="ja-JP"/>
        </w:rPr>
        <w:tab/>
      </w:r>
      <w:r>
        <w:t>Overview</w:t>
      </w:r>
      <w:r>
        <w:tab/>
      </w:r>
      <w:r>
        <w:fldChar w:fldCharType="begin"/>
      </w:r>
      <w:r>
        <w:instrText xml:space="preserve"> PAGEREF _Toc291251559 \h </w:instrText>
      </w:r>
      <w:r>
        <w:fldChar w:fldCharType="separate"/>
      </w:r>
      <w:r w:rsidR="005F7546">
        <w:t>17</w:t>
      </w:r>
      <w:r>
        <w:fldChar w:fldCharType="end"/>
      </w:r>
    </w:p>
    <w:p w14:paraId="13DE1635"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4.2</w:t>
      </w:r>
      <w:r>
        <w:rPr>
          <w:rFonts w:asciiTheme="minorHAnsi" w:eastAsiaTheme="minorEastAsia" w:hAnsiTheme="minorHAnsi" w:cstheme="minorBidi"/>
          <w:b w:val="0"/>
          <w:sz w:val="24"/>
          <w:szCs w:val="24"/>
          <w:lang w:eastAsia="ja-JP"/>
        </w:rPr>
        <w:tab/>
      </w:r>
      <w:r>
        <w:t>OGC and Other Information Models and Encodings</w:t>
      </w:r>
      <w:r>
        <w:tab/>
      </w:r>
      <w:r>
        <w:fldChar w:fldCharType="begin"/>
      </w:r>
      <w:r>
        <w:instrText xml:space="preserve"> PAGEREF _Toc291251560 \h </w:instrText>
      </w:r>
      <w:r>
        <w:fldChar w:fldCharType="separate"/>
      </w:r>
      <w:r w:rsidR="005F7546">
        <w:t>17</w:t>
      </w:r>
      <w:r>
        <w:fldChar w:fldCharType="end"/>
      </w:r>
    </w:p>
    <w:p w14:paraId="4A06AF52"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4.2.1</w:t>
      </w:r>
      <w:r>
        <w:rPr>
          <w:rFonts w:asciiTheme="minorHAnsi" w:eastAsiaTheme="minorEastAsia" w:hAnsiTheme="minorHAnsi" w:cstheme="minorBidi"/>
          <w:i w:val="0"/>
          <w:sz w:val="24"/>
          <w:szCs w:val="24"/>
          <w:lang w:eastAsia="ja-JP"/>
        </w:rPr>
        <w:tab/>
      </w:r>
      <w:r>
        <w:t>Geographic Markup Language (GML)</w:t>
      </w:r>
      <w:r>
        <w:tab/>
      </w:r>
      <w:r>
        <w:fldChar w:fldCharType="begin"/>
      </w:r>
      <w:r>
        <w:instrText xml:space="preserve"> PAGEREF _Toc291251561 \h </w:instrText>
      </w:r>
      <w:r>
        <w:fldChar w:fldCharType="separate"/>
      </w:r>
      <w:r w:rsidR="005F7546">
        <w:t>17</w:t>
      </w:r>
      <w:r>
        <w:fldChar w:fldCharType="end"/>
      </w:r>
    </w:p>
    <w:p w14:paraId="7D80B2E1"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4.2.2</w:t>
      </w:r>
      <w:r>
        <w:rPr>
          <w:rFonts w:asciiTheme="minorHAnsi" w:eastAsiaTheme="minorEastAsia" w:hAnsiTheme="minorHAnsi" w:cstheme="minorBidi"/>
          <w:i w:val="0"/>
          <w:sz w:val="24"/>
          <w:szCs w:val="24"/>
          <w:lang w:eastAsia="ja-JP"/>
        </w:rPr>
        <w:tab/>
      </w:r>
      <w:r>
        <w:t>Observations and Measurements (O&amp;M)</w:t>
      </w:r>
      <w:r>
        <w:tab/>
      </w:r>
      <w:r>
        <w:fldChar w:fldCharType="begin"/>
      </w:r>
      <w:r>
        <w:instrText xml:space="preserve"> PAGEREF _Toc291251562 \h </w:instrText>
      </w:r>
      <w:r>
        <w:fldChar w:fldCharType="separate"/>
      </w:r>
      <w:r w:rsidR="005F7546">
        <w:t>17</w:t>
      </w:r>
      <w:r>
        <w:fldChar w:fldCharType="end"/>
      </w:r>
    </w:p>
    <w:p w14:paraId="4D5B56A0"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4.2.3</w:t>
      </w:r>
      <w:r>
        <w:rPr>
          <w:rFonts w:asciiTheme="minorHAnsi" w:eastAsiaTheme="minorEastAsia" w:hAnsiTheme="minorHAnsi" w:cstheme="minorBidi"/>
          <w:i w:val="0"/>
          <w:sz w:val="24"/>
          <w:szCs w:val="24"/>
          <w:lang w:eastAsia="ja-JP"/>
        </w:rPr>
        <w:tab/>
      </w:r>
      <w:r>
        <w:t>SensorML</w:t>
      </w:r>
      <w:r>
        <w:tab/>
      </w:r>
      <w:r>
        <w:fldChar w:fldCharType="begin"/>
      </w:r>
      <w:r>
        <w:instrText xml:space="preserve"> PAGEREF _Toc291251563 \h </w:instrText>
      </w:r>
      <w:r>
        <w:fldChar w:fldCharType="separate"/>
      </w:r>
      <w:r w:rsidR="005F7546">
        <w:t>17</w:t>
      </w:r>
      <w:r>
        <w:fldChar w:fldCharType="end"/>
      </w:r>
    </w:p>
    <w:p w14:paraId="44171FC0"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4.2.4</w:t>
      </w:r>
      <w:r>
        <w:rPr>
          <w:rFonts w:asciiTheme="minorHAnsi" w:eastAsiaTheme="minorEastAsia" w:hAnsiTheme="minorHAnsi" w:cstheme="minorBidi"/>
          <w:i w:val="0"/>
          <w:sz w:val="24"/>
          <w:szCs w:val="24"/>
          <w:lang w:eastAsia="ja-JP"/>
        </w:rPr>
        <w:tab/>
      </w:r>
      <w:r>
        <w:t>OWS Context</w:t>
      </w:r>
      <w:r>
        <w:tab/>
      </w:r>
      <w:r>
        <w:fldChar w:fldCharType="begin"/>
      </w:r>
      <w:r>
        <w:instrText xml:space="preserve"> PAGEREF _Toc291251564 \h </w:instrText>
      </w:r>
      <w:r>
        <w:fldChar w:fldCharType="separate"/>
      </w:r>
      <w:r w:rsidR="005F7546">
        <w:t>17</w:t>
      </w:r>
      <w:r>
        <w:fldChar w:fldCharType="end"/>
      </w:r>
    </w:p>
    <w:p w14:paraId="4629EA9B"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4.2.5</w:t>
      </w:r>
      <w:r>
        <w:rPr>
          <w:rFonts w:asciiTheme="minorHAnsi" w:eastAsiaTheme="minorEastAsia" w:hAnsiTheme="minorHAnsi" w:cstheme="minorBidi"/>
          <w:i w:val="0"/>
          <w:sz w:val="24"/>
          <w:szCs w:val="24"/>
          <w:lang w:eastAsia="ja-JP"/>
        </w:rPr>
        <w:tab/>
      </w:r>
      <w:r>
        <w:t>CSW Record</w:t>
      </w:r>
      <w:r>
        <w:tab/>
      </w:r>
      <w:r>
        <w:fldChar w:fldCharType="begin"/>
      </w:r>
      <w:r>
        <w:instrText xml:space="preserve"> PAGEREF _Toc291251565 \h </w:instrText>
      </w:r>
      <w:r>
        <w:fldChar w:fldCharType="separate"/>
      </w:r>
      <w:r w:rsidR="005F7546">
        <w:t>18</w:t>
      </w:r>
      <w:r>
        <w:fldChar w:fldCharType="end"/>
      </w:r>
    </w:p>
    <w:p w14:paraId="511A1EB0"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4.2.6</w:t>
      </w:r>
      <w:r>
        <w:rPr>
          <w:rFonts w:asciiTheme="minorHAnsi" w:eastAsiaTheme="minorEastAsia" w:hAnsiTheme="minorHAnsi" w:cstheme="minorBidi"/>
          <w:i w:val="0"/>
          <w:sz w:val="24"/>
          <w:szCs w:val="24"/>
          <w:lang w:eastAsia="ja-JP"/>
        </w:rPr>
        <w:tab/>
      </w:r>
      <w:r>
        <w:t>GeoJSON</w:t>
      </w:r>
      <w:r>
        <w:tab/>
      </w:r>
      <w:r>
        <w:fldChar w:fldCharType="begin"/>
      </w:r>
      <w:r>
        <w:instrText xml:space="preserve"> PAGEREF _Toc291251566 \h </w:instrText>
      </w:r>
      <w:r>
        <w:fldChar w:fldCharType="separate"/>
      </w:r>
      <w:r w:rsidR="005F7546">
        <w:t>18</w:t>
      </w:r>
      <w:r>
        <w:fldChar w:fldCharType="end"/>
      </w:r>
    </w:p>
    <w:p w14:paraId="721832BB"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4.2.7</w:t>
      </w:r>
      <w:r>
        <w:rPr>
          <w:rFonts w:asciiTheme="minorHAnsi" w:eastAsiaTheme="minorEastAsia" w:hAnsiTheme="minorHAnsi" w:cstheme="minorBidi"/>
          <w:i w:val="0"/>
          <w:sz w:val="24"/>
          <w:szCs w:val="24"/>
          <w:lang w:eastAsia="ja-JP"/>
        </w:rPr>
        <w:tab/>
      </w:r>
      <w:r>
        <w:t>Sensor Networks: Sensor Network Reference Architecture (SNRA)</w:t>
      </w:r>
      <w:r>
        <w:tab/>
      </w:r>
      <w:r>
        <w:fldChar w:fldCharType="begin"/>
      </w:r>
      <w:r>
        <w:instrText xml:space="preserve"> PAGEREF _Toc291251567 \h </w:instrText>
      </w:r>
      <w:r>
        <w:fldChar w:fldCharType="separate"/>
      </w:r>
      <w:r w:rsidR="005F7546">
        <w:t>18</w:t>
      </w:r>
      <w:r>
        <w:fldChar w:fldCharType="end"/>
      </w:r>
    </w:p>
    <w:p w14:paraId="255F263F" w14:textId="77777777" w:rsidR="00167A93" w:rsidRDefault="00167A93">
      <w:pPr>
        <w:pStyle w:val="TOC1"/>
        <w:tabs>
          <w:tab w:val="left" w:pos="373"/>
          <w:tab w:val="right" w:leader="dot" w:pos="9350"/>
        </w:tabs>
        <w:rPr>
          <w:rFonts w:asciiTheme="minorHAnsi" w:eastAsiaTheme="minorEastAsia" w:hAnsiTheme="minorHAnsi" w:cstheme="minorBidi"/>
          <w:b w:val="0"/>
          <w:szCs w:val="24"/>
          <w:lang w:eastAsia="ja-JP"/>
        </w:rPr>
      </w:pPr>
      <w:r>
        <w:t>5</w:t>
      </w:r>
      <w:r>
        <w:rPr>
          <w:rFonts w:asciiTheme="minorHAnsi" w:eastAsiaTheme="minorEastAsia" w:hAnsiTheme="minorHAnsi" w:cstheme="minorBidi"/>
          <w:b w:val="0"/>
          <w:szCs w:val="24"/>
          <w:lang w:eastAsia="ja-JP"/>
        </w:rPr>
        <w:tab/>
      </w:r>
      <w:r>
        <w:t>Computational Viewpoint</w:t>
      </w:r>
      <w:r>
        <w:tab/>
      </w:r>
      <w:r>
        <w:fldChar w:fldCharType="begin"/>
      </w:r>
      <w:r>
        <w:instrText xml:space="preserve"> PAGEREF _Toc291251568 \h </w:instrText>
      </w:r>
      <w:r>
        <w:fldChar w:fldCharType="separate"/>
      </w:r>
      <w:r w:rsidR="005F7546">
        <w:t>19</w:t>
      </w:r>
      <w:r>
        <w:fldChar w:fldCharType="end"/>
      </w:r>
    </w:p>
    <w:p w14:paraId="4E4B1188"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5.1</w:t>
      </w:r>
      <w:r>
        <w:rPr>
          <w:rFonts w:asciiTheme="minorHAnsi" w:eastAsiaTheme="minorEastAsia" w:hAnsiTheme="minorHAnsi" w:cstheme="minorBidi"/>
          <w:b w:val="0"/>
          <w:sz w:val="24"/>
          <w:szCs w:val="24"/>
          <w:lang w:eastAsia="ja-JP"/>
        </w:rPr>
        <w:tab/>
      </w:r>
      <w:r>
        <w:t>Overview</w:t>
      </w:r>
      <w:r>
        <w:tab/>
      </w:r>
      <w:r>
        <w:fldChar w:fldCharType="begin"/>
      </w:r>
      <w:r>
        <w:instrText xml:space="preserve"> PAGEREF _Toc291251569 \h </w:instrText>
      </w:r>
      <w:r>
        <w:fldChar w:fldCharType="separate"/>
      </w:r>
      <w:r w:rsidR="005F7546">
        <w:t>19</w:t>
      </w:r>
      <w:r>
        <w:fldChar w:fldCharType="end"/>
      </w:r>
    </w:p>
    <w:p w14:paraId="30EC75A9"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5.2</w:t>
      </w:r>
      <w:r>
        <w:rPr>
          <w:rFonts w:asciiTheme="minorHAnsi" w:eastAsiaTheme="minorEastAsia" w:hAnsiTheme="minorHAnsi" w:cstheme="minorBidi"/>
          <w:b w:val="0"/>
          <w:sz w:val="24"/>
          <w:szCs w:val="24"/>
          <w:lang w:eastAsia="ja-JP"/>
        </w:rPr>
        <w:tab/>
      </w:r>
      <w:r>
        <w:t>Protocol Layer Standards</w:t>
      </w:r>
      <w:r>
        <w:tab/>
      </w:r>
      <w:r>
        <w:fldChar w:fldCharType="begin"/>
      </w:r>
      <w:r>
        <w:instrText xml:space="preserve"> PAGEREF _Toc291251570 \h </w:instrText>
      </w:r>
      <w:r>
        <w:fldChar w:fldCharType="separate"/>
      </w:r>
      <w:r w:rsidR="005F7546">
        <w:t>19</w:t>
      </w:r>
      <w:r>
        <w:fldChar w:fldCharType="end"/>
      </w:r>
    </w:p>
    <w:p w14:paraId="7A6A9368"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5.2.1</w:t>
      </w:r>
      <w:r>
        <w:rPr>
          <w:rFonts w:asciiTheme="minorHAnsi" w:eastAsiaTheme="minorEastAsia" w:hAnsiTheme="minorHAnsi" w:cstheme="minorBidi"/>
          <w:i w:val="0"/>
          <w:sz w:val="24"/>
          <w:szCs w:val="24"/>
          <w:lang w:eastAsia="ja-JP"/>
        </w:rPr>
        <w:tab/>
      </w:r>
      <w:r>
        <w:t>ZigBee</w:t>
      </w:r>
      <w:r>
        <w:tab/>
      </w:r>
      <w:r>
        <w:fldChar w:fldCharType="begin"/>
      </w:r>
      <w:r>
        <w:instrText xml:space="preserve"> PAGEREF _Toc291251571 \h </w:instrText>
      </w:r>
      <w:r>
        <w:fldChar w:fldCharType="separate"/>
      </w:r>
      <w:r w:rsidR="005F7546">
        <w:t>19</w:t>
      </w:r>
      <w:r>
        <w:fldChar w:fldCharType="end"/>
      </w:r>
    </w:p>
    <w:p w14:paraId="65A5F3C4"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5.2.2</w:t>
      </w:r>
      <w:r>
        <w:rPr>
          <w:rFonts w:asciiTheme="minorHAnsi" w:eastAsiaTheme="minorEastAsia" w:hAnsiTheme="minorHAnsi" w:cstheme="minorBidi"/>
          <w:i w:val="0"/>
          <w:sz w:val="24"/>
          <w:szCs w:val="24"/>
          <w:lang w:eastAsia="ja-JP"/>
        </w:rPr>
        <w:tab/>
      </w:r>
      <w:r>
        <w:t>XMPP</w:t>
      </w:r>
      <w:r>
        <w:tab/>
      </w:r>
      <w:r>
        <w:fldChar w:fldCharType="begin"/>
      </w:r>
      <w:r>
        <w:instrText xml:space="preserve"> PAGEREF _Toc291251572 \h </w:instrText>
      </w:r>
      <w:r>
        <w:fldChar w:fldCharType="separate"/>
      </w:r>
      <w:r w:rsidR="005F7546">
        <w:t>19</w:t>
      </w:r>
      <w:r>
        <w:fldChar w:fldCharType="end"/>
      </w:r>
    </w:p>
    <w:p w14:paraId="2A859121"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5.2.3</w:t>
      </w:r>
      <w:r>
        <w:rPr>
          <w:rFonts w:asciiTheme="minorHAnsi" w:eastAsiaTheme="minorEastAsia" w:hAnsiTheme="minorHAnsi" w:cstheme="minorBidi"/>
          <w:i w:val="0"/>
          <w:sz w:val="24"/>
          <w:szCs w:val="24"/>
          <w:lang w:eastAsia="ja-JP"/>
        </w:rPr>
        <w:tab/>
      </w:r>
      <w:r>
        <w:t>MQTT</w:t>
      </w:r>
      <w:r>
        <w:tab/>
      </w:r>
      <w:r>
        <w:fldChar w:fldCharType="begin"/>
      </w:r>
      <w:r>
        <w:instrText xml:space="preserve"> PAGEREF _Toc291251573 \h </w:instrText>
      </w:r>
      <w:r>
        <w:fldChar w:fldCharType="separate"/>
      </w:r>
      <w:r w:rsidR="005F7546">
        <w:t>19</w:t>
      </w:r>
      <w:r>
        <w:fldChar w:fldCharType="end"/>
      </w:r>
    </w:p>
    <w:p w14:paraId="611D5A2E"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5.2.4</w:t>
      </w:r>
      <w:r>
        <w:rPr>
          <w:rFonts w:asciiTheme="minorHAnsi" w:eastAsiaTheme="minorEastAsia" w:hAnsiTheme="minorHAnsi" w:cstheme="minorBidi"/>
          <w:i w:val="0"/>
          <w:sz w:val="24"/>
          <w:szCs w:val="24"/>
          <w:lang w:eastAsia="ja-JP"/>
        </w:rPr>
        <w:tab/>
      </w:r>
      <w:r>
        <w:t>CoAP</w:t>
      </w:r>
      <w:r>
        <w:tab/>
      </w:r>
      <w:r>
        <w:fldChar w:fldCharType="begin"/>
      </w:r>
      <w:r>
        <w:instrText xml:space="preserve"> PAGEREF _Toc291251574 \h </w:instrText>
      </w:r>
      <w:r>
        <w:fldChar w:fldCharType="separate"/>
      </w:r>
      <w:r w:rsidR="005F7546">
        <w:t>20</w:t>
      </w:r>
      <w:r>
        <w:fldChar w:fldCharType="end"/>
      </w:r>
    </w:p>
    <w:p w14:paraId="3E198395"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5.2.5</w:t>
      </w:r>
      <w:r>
        <w:rPr>
          <w:rFonts w:asciiTheme="minorHAnsi" w:eastAsiaTheme="minorEastAsia" w:hAnsiTheme="minorHAnsi" w:cstheme="minorBidi"/>
          <w:i w:val="0"/>
          <w:sz w:val="24"/>
          <w:szCs w:val="24"/>
          <w:lang w:eastAsia="ja-JP"/>
        </w:rPr>
        <w:tab/>
      </w:r>
      <w:r>
        <w:t>DDS</w:t>
      </w:r>
      <w:r>
        <w:tab/>
      </w:r>
      <w:r>
        <w:fldChar w:fldCharType="begin"/>
      </w:r>
      <w:r>
        <w:instrText xml:space="preserve"> PAGEREF _Toc291251575 \h </w:instrText>
      </w:r>
      <w:r>
        <w:fldChar w:fldCharType="separate"/>
      </w:r>
      <w:r w:rsidR="005F7546">
        <w:t>20</w:t>
      </w:r>
      <w:r>
        <w:fldChar w:fldCharType="end"/>
      </w:r>
    </w:p>
    <w:p w14:paraId="73D9C20B" w14:textId="77777777" w:rsidR="00167A93" w:rsidRDefault="00167A93">
      <w:pPr>
        <w:pStyle w:val="TOC2"/>
        <w:tabs>
          <w:tab w:val="left" w:pos="717"/>
          <w:tab w:val="right" w:leader="dot" w:pos="9350"/>
        </w:tabs>
        <w:rPr>
          <w:rFonts w:asciiTheme="minorHAnsi" w:eastAsiaTheme="minorEastAsia" w:hAnsiTheme="minorHAnsi" w:cstheme="minorBidi"/>
          <w:b w:val="0"/>
          <w:sz w:val="24"/>
          <w:szCs w:val="24"/>
          <w:lang w:eastAsia="ja-JP"/>
        </w:rPr>
      </w:pPr>
      <w:r>
        <w:t>5.3</w:t>
      </w:r>
      <w:r>
        <w:rPr>
          <w:rFonts w:asciiTheme="minorHAnsi" w:eastAsiaTheme="minorEastAsia" w:hAnsiTheme="minorHAnsi" w:cstheme="minorBidi"/>
          <w:b w:val="0"/>
          <w:sz w:val="24"/>
          <w:szCs w:val="24"/>
          <w:lang w:eastAsia="ja-JP"/>
        </w:rPr>
        <w:tab/>
      </w:r>
      <w:r>
        <w:t>Service Layer Standards</w:t>
      </w:r>
      <w:r>
        <w:tab/>
      </w:r>
      <w:r>
        <w:fldChar w:fldCharType="begin"/>
      </w:r>
      <w:r>
        <w:instrText xml:space="preserve"> PAGEREF _Toc291251576 \h </w:instrText>
      </w:r>
      <w:r>
        <w:fldChar w:fldCharType="separate"/>
      </w:r>
      <w:r w:rsidR="005F7546">
        <w:t>20</w:t>
      </w:r>
      <w:r>
        <w:fldChar w:fldCharType="end"/>
      </w:r>
    </w:p>
    <w:p w14:paraId="03F614D0"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5.3.1</w:t>
      </w:r>
      <w:r>
        <w:rPr>
          <w:rFonts w:asciiTheme="minorHAnsi" w:eastAsiaTheme="minorEastAsia" w:hAnsiTheme="minorHAnsi" w:cstheme="minorBidi"/>
          <w:i w:val="0"/>
          <w:sz w:val="24"/>
          <w:szCs w:val="24"/>
          <w:lang w:eastAsia="ja-JP"/>
        </w:rPr>
        <w:tab/>
      </w:r>
      <w:r>
        <w:t>Web Mapping Service (WMS)</w:t>
      </w:r>
      <w:r>
        <w:tab/>
      </w:r>
      <w:r>
        <w:fldChar w:fldCharType="begin"/>
      </w:r>
      <w:r>
        <w:instrText xml:space="preserve"> PAGEREF _Toc291251577 \h </w:instrText>
      </w:r>
      <w:r>
        <w:fldChar w:fldCharType="separate"/>
      </w:r>
      <w:r w:rsidR="005F7546">
        <w:t>20</w:t>
      </w:r>
      <w:r>
        <w:fldChar w:fldCharType="end"/>
      </w:r>
    </w:p>
    <w:p w14:paraId="128929EF"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5.3.2</w:t>
      </w:r>
      <w:r>
        <w:rPr>
          <w:rFonts w:asciiTheme="minorHAnsi" w:eastAsiaTheme="minorEastAsia" w:hAnsiTheme="minorHAnsi" w:cstheme="minorBidi"/>
          <w:i w:val="0"/>
          <w:sz w:val="24"/>
          <w:szCs w:val="24"/>
          <w:lang w:eastAsia="ja-JP"/>
        </w:rPr>
        <w:tab/>
      </w:r>
      <w:r>
        <w:t>Web Feature Service (WFS)</w:t>
      </w:r>
      <w:r>
        <w:tab/>
      </w:r>
      <w:r>
        <w:fldChar w:fldCharType="begin"/>
      </w:r>
      <w:r>
        <w:instrText xml:space="preserve"> PAGEREF _Toc291251578 \h </w:instrText>
      </w:r>
      <w:r>
        <w:fldChar w:fldCharType="separate"/>
      </w:r>
      <w:r w:rsidR="005F7546">
        <w:t>21</w:t>
      </w:r>
      <w:r>
        <w:fldChar w:fldCharType="end"/>
      </w:r>
    </w:p>
    <w:p w14:paraId="331A7C68"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5.3.3</w:t>
      </w:r>
      <w:r>
        <w:rPr>
          <w:rFonts w:asciiTheme="minorHAnsi" w:eastAsiaTheme="minorEastAsia" w:hAnsiTheme="minorHAnsi" w:cstheme="minorBidi"/>
          <w:i w:val="0"/>
          <w:sz w:val="24"/>
          <w:szCs w:val="24"/>
          <w:lang w:eastAsia="ja-JP"/>
        </w:rPr>
        <w:tab/>
      </w:r>
      <w:r>
        <w:t>Catalogue Service for the Web(CSW)</w:t>
      </w:r>
      <w:r>
        <w:tab/>
      </w:r>
      <w:r>
        <w:fldChar w:fldCharType="begin"/>
      </w:r>
      <w:r>
        <w:instrText xml:space="preserve"> PAGEREF _Toc291251579 \h </w:instrText>
      </w:r>
      <w:r>
        <w:fldChar w:fldCharType="separate"/>
      </w:r>
      <w:r w:rsidR="005F7546">
        <w:t>21</w:t>
      </w:r>
      <w:r>
        <w:fldChar w:fldCharType="end"/>
      </w:r>
    </w:p>
    <w:p w14:paraId="1A237FAB"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5.3.4</w:t>
      </w:r>
      <w:r>
        <w:rPr>
          <w:rFonts w:asciiTheme="minorHAnsi" w:eastAsiaTheme="minorEastAsia" w:hAnsiTheme="minorHAnsi" w:cstheme="minorBidi"/>
          <w:i w:val="0"/>
          <w:sz w:val="24"/>
          <w:szCs w:val="24"/>
          <w:lang w:eastAsia="ja-JP"/>
        </w:rPr>
        <w:tab/>
      </w:r>
      <w:r>
        <w:t>Web Processing Service (WPS)</w:t>
      </w:r>
      <w:r>
        <w:tab/>
      </w:r>
      <w:r>
        <w:fldChar w:fldCharType="begin"/>
      </w:r>
      <w:r>
        <w:instrText xml:space="preserve"> PAGEREF _Toc291251580 \h </w:instrText>
      </w:r>
      <w:r>
        <w:fldChar w:fldCharType="separate"/>
      </w:r>
      <w:r w:rsidR="005F7546">
        <w:t>21</w:t>
      </w:r>
      <w:r>
        <w:fldChar w:fldCharType="end"/>
      </w:r>
    </w:p>
    <w:p w14:paraId="5EE58D73"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lastRenderedPageBreak/>
        <w:t>5.3.5</w:t>
      </w:r>
      <w:r>
        <w:rPr>
          <w:rFonts w:asciiTheme="minorHAnsi" w:eastAsiaTheme="minorEastAsia" w:hAnsiTheme="minorHAnsi" w:cstheme="minorBidi"/>
          <w:i w:val="0"/>
          <w:sz w:val="24"/>
          <w:szCs w:val="24"/>
          <w:lang w:eastAsia="ja-JP"/>
        </w:rPr>
        <w:tab/>
      </w:r>
      <w:r>
        <w:t>Sensor Observation Service (SOS)</w:t>
      </w:r>
      <w:r>
        <w:tab/>
      </w:r>
      <w:r>
        <w:fldChar w:fldCharType="begin"/>
      </w:r>
      <w:r>
        <w:instrText xml:space="preserve"> PAGEREF _Toc291251581 \h </w:instrText>
      </w:r>
      <w:r>
        <w:fldChar w:fldCharType="separate"/>
      </w:r>
      <w:r w:rsidR="005F7546">
        <w:t>21</w:t>
      </w:r>
      <w:r>
        <w:fldChar w:fldCharType="end"/>
      </w:r>
    </w:p>
    <w:p w14:paraId="277055D0"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5.3.6</w:t>
      </w:r>
      <w:r>
        <w:rPr>
          <w:rFonts w:asciiTheme="minorHAnsi" w:eastAsiaTheme="minorEastAsia" w:hAnsiTheme="minorHAnsi" w:cstheme="minorBidi"/>
          <w:i w:val="0"/>
          <w:sz w:val="24"/>
          <w:szCs w:val="24"/>
          <w:lang w:eastAsia="ja-JP"/>
        </w:rPr>
        <w:tab/>
      </w:r>
      <w:r>
        <w:t>Sensor Things API (STAPI)</w:t>
      </w:r>
      <w:r>
        <w:tab/>
      </w:r>
      <w:r>
        <w:fldChar w:fldCharType="begin"/>
      </w:r>
      <w:r>
        <w:instrText xml:space="preserve"> PAGEREF _Toc291251582 \h </w:instrText>
      </w:r>
      <w:r>
        <w:fldChar w:fldCharType="separate"/>
      </w:r>
      <w:r w:rsidR="005F7546">
        <w:t>21</w:t>
      </w:r>
      <w:r>
        <w:fldChar w:fldCharType="end"/>
      </w:r>
    </w:p>
    <w:p w14:paraId="1B98C8A8"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5.3.7</w:t>
      </w:r>
      <w:r>
        <w:rPr>
          <w:rFonts w:asciiTheme="minorHAnsi" w:eastAsiaTheme="minorEastAsia" w:hAnsiTheme="minorHAnsi" w:cstheme="minorBidi"/>
          <w:i w:val="0"/>
          <w:sz w:val="24"/>
          <w:szCs w:val="24"/>
          <w:lang w:eastAsia="ja-JP"/>
        </w:rPr>
        <w:tab/>
      </w:r>
      <w:r>
        <w:t>Web Notification Service (WNS)</w:t>
      </w:r>
      <w:r>
        <w:tab/>
      </w:r>
      <w:r>
        <w:fldChar w:fldCharType="begin"/>
      </w:r>
      <w:r>
        <w:instrText xml:space="preserve"> PAGEREF _Toc291251583 \h </w:instrText>
      </w:r>
      <w:r>
        <w:fldChar w:fldCharType="separate"/>
      </w:r>
      <w:r w:rsidR="005F7546">
        <w:t>22</w:t>
      </w:r>
      <w:r>
        <w:fldChar w:fldCharType="end"/>
      </w:r>
    </w:p>
    <w:p w14:paraId="4F56A26E" w14:textId="77777777" w:rsidR="00167A93" w:rsidRDefault="00167A93">
      <w:pPr>
        <w:pStyle w:val="TOC3"/>
        <w:tabs>
          <w:tab w:val="left" w:pos="1080"/>
          <w:tab w:val="right" w:leader="dot" w:pos="9350"/>
        </w:tabs>
        <w:rPr>
          <w:rFonts w:asciiTheme="minorHAnsi" w:eastAsiaTheme="minorEastAsia" w:hAnsiTheme="minorHAnsi" w:cstheme="minorBidi"/>
          <w:i w:val="0"/>
          <w:sz w:val="24"/>
          <w:szCs w:val="24"/>
          <w:lang w:eastAsia="ja-JP"/>
        </w:rPr>
      </w:pPr>
      <w:r>
        <w:t>5.3.8</w:t>
      </w:r>
      <w:r>
        <w:rPr>
          <w:rFonts w:asciiTheme="minorHAnsi" w:eastAsiaTheme="minorEastAsia" w:hAnsiTheme="minorHAnsi" w:cstheme="minorBidi"/>
          <w:i w:val="0"/>
          <w:sz w:val="24"/>
          <w:szCs w:val="24"/>
          <w:lang w:eastAsia="ja-JP"/>
        </w:rPr>
        <w:tab/>
      </w:r>
      <w:r>
        <w:t>Sensor Alert Service</w:t>
      </w:r>
      <w:r>
        <w:tab/>
      </w:r>
      <w:r>
        <w:fldChar w:fldCharType="begin"/>
      </w:r>
      <w:r>
        <w:instrText xml:space="preserve"> PAGEREF _Toc291251584 \h </w:instrText>
      </w:r>
      <w:r>
        <w:fldChar w:fldCharType="separate"/>
      </w:r>
      <w:r w:rsidR="005F7546">
        <w:t>22</w:t>
      </w:r>
      <w:r>
        <w:fldChar w:fldCharType="end"/>
      </w:r>
    </w:p>
    <w:p w14:paraId="49A24827" w14:textId="77777777" w:rsidR="00167A93" w:rsidRDefault="00167A93">
      <w:pPr>
        <w:pStyle w:val="TOC1"/>
        <w:tabs>
          <w:tab w:val="left" w:pos="373"/>
          <w:tab w:val="right" w:leader="dot" w:pos="9350"/>
        </w:tabs>
        <w:rPr>
          <w:rFonts w:asciiTheme="minorHAnsi" w:eastAsiaTheme="minorEastAsia" w:hAnsiTheme="minorHAnsi" w:cstheme="minorBidi"/>
          <w:b w:val="0"/>
          <w:szCs w:val="24"/>
          <w:lang w:eastAsia="ja-JP"/>
        </w:rPr>
      </w:pPr>
      <w:r>
        <w:t>6</w:t>
      </w:r>
      <w:r>
        <w:rPr>
          <w:rFonts w:asciiTheme="minorHAnsi" w:eastAsiaTheme="minorEastAsia" w:hAnsiTheme="minorHAnsi" w:cstheme="minorBidi"/>
          <w:b w:val="0"/>
          <w:szCs w:val="24"/>
          <w:lang w:eastAsia="ja-JP"/>
        </w:rPr>
        <w:tab/>
      </w:r>
      <w:r>
        <w:t>Engineering Viewpoint</w:t>
      </w:r>
      <w:r>
        <w:tab/>
      </w:r>
      <w:r>
        <w:fldChar w:fldCharType="begin"/>
      </w:r>
      <w:r>
        <w:instrText xml:space="preserve"> PAGEREF _Toc291251585 \h </w:instrText>
      </w:r>
      <w:r>
        <w:fldChar w:fldCharType="separate"/>
      </w:r>
      <w:r w:rsidR="005F7546">
        <w:t>23</w:t>
      </w:r>
      <w:r>
        <w:fldChar w:fldCharType="end"/>
      </w:r>
    </w:p>
    <w:p w14:paraId="71B6D31C" w14:textId="77777777" w:rsidR="00167A93" w:rsidRDefault="00167A93">
      <w:pPr>
        <w:pStyle w:val="TOC1"/>
        <w:tabs>
          <w:tab w:val="left" w:pos="373"/>
          <w:tab w:val="right" w:leader="dot" w:pos="9350"/>
        </w:tabs>
        <w:rPr>
          <w:rFonts w:asciiTheme="minorHAnsi" w:eastAsiaTheme="minorEastAsia" w:hAnsiTheme="minorHAnsi" w:cstheme="minorBidi"/>
          <w:b w:val="0"/>
          <w:szCs w:val="24"/>
          <w:lang w:eastAsia="ja-JP"/>
        </w:rPr>
      </w:pPr>
      <w:r>
        <w:t>7</w:t>
      </w:r>
      <w:r>
        <w:rPr>
          <w:rFonts w:asciiTheme="minorHAnsi" w:eastAsiaTheme="minorEastAsia" w:hAnsiTheme="minorHAnsi" w:cstheme="minorBidi"/>
          <w:b w:val="0"/>
          <w:szCs w:val="24"/>
          <w:lang w:eastAsia="ja-JP"/>
        </w:rPr>
        <w:tab/>
      </w:r>
      <w:r>
        <w:t>Technology Viewpoint</w:t>
      </w:r>
      <w:r>
        <w:tab/>
      </w:r>
      <w:r>
        <w:fldChar w:fldCharType="begin"/>
      </w:r>
      <w:r>
        <w:instrText xml:space="preserve"> PAGEREF _Toc291251586 \h </w:instrText>
      </w:r>
      <w:r>
        <w:fldChar w:fldCharType="separate"/>
      </w:r>
      <w:r w:rsidR="005F7546">
        <w:t>24</w:t>
      </w:r>
      <w:r>
        <w:fldChar w:fldCharType="end"/>
      </w:r>
    </w:p>
    <w:p w14:paraId="13DE822D" w14:textId="77777777" w:rsidR="00A72225" w:rsidRDefault="004F2DC6" w:rsidP="0068741D">
      <w:pPr>
        <w:pStyle w:val="TOC1"/>
        <w:tabs>
          <w:tab w:val="left" w:pos="403"/>
          <w:tab w:val="right" w:leader="dot" w:pos="8630"/>
        </w:tabs>
      </w:pPr>
      <w:r>
        <w:rPr>
          <w:b w:val="0"/>
          <w:caps/>
          <w:sz w:val="28"/>
        </w:rPr>
        <w:fldChar w:fldCharType="end"/>
      </w:r>
      <w:r w:rsidR="00C414E5">
        <w:t xml:space="preserve"> </w:t>
      </w:r>
    </w:p>
    <w:p w14:paraId="5A34AFDE" w14:textId="77777777" w:rsidR="00A72225" w:rsidRDefault="00A72225" w:rsidP="0068741D">
      <w:pPr>
        <w:pStyle w:val="TOCHeading"/>
        <w:spacing w:before="80" w:after="80"/>
      </w:pPr>
    </w:p>
    <w:p w14:paraId="324BC857" w14:textId="77777777" w:rsidR="004F2DC6" w:rsidRDefault="004F2DC6" w:rsidP="0068741D">
      <w:pPr>
        <w:pStyle w:val="TOCHeading"/>
        <w:pageBreakBefore/>
        <w:spacing w:before="80" w:after="80"/>
      </w:pPr>
      <w:r>
        <w:lastRenderedPageBreak/>
        <w:t>List of Figures</w:t>
      </w:r>
    </w:p>
    <w:p w14:paraId="467814FD" w14:textId="77777777" w:rsidR="00167A93" w:rsidRDefault="0051599A">
      <w:pPr>
        <w:pStyle w:val="TableofFigures"/>
        <w:tabs>
          <w:tab w:val="right" w:leader="dot" w:pos="9350"/>
        </w:tabs>
        <w:rPr>
          <w:rFonts w:asciiTheme="minorHAnsi" w:eastAsiaTheme="minorEastAsia" w:hAnsiTheme="minorHAnsi" w:cstheme="minorBidi"/>
          <w:sz w:val="24"/>
          <w:szCs w:val="24"/>
          <w:lang w:eastAsia="ja-JP"/>
        </w:rPr>
      </w:pPr>
      <w:r>
        <w:fldChar w:fldCharType="begin"/>
      </w:r>
      <w:r>
        <w:instrText xml:space="preserve"> TOC \t "Caption,Caption Char,Caption Char1 Char,Caption Char Char Char,Caption Char Char1 Char Char,Caption ..." \c </w:instrText>
      </w:r>
      <w:r>
        <w:fldChar w:fldCharType="separate"/>
      </w:r>
      <w:r w:rsidR="00167A93">
        <w:t>Figure 1: Incident management operations command interactions</w:t>
      </w:r>
      <w:r w:rsidR="00167A93">
        <w:tab/>
      </w:r>
      <w:r w:rsidR="00167A93">
        <w:fldChar w:fldCharType="begin"/>
      </w:r>
      <w:r w:rsidR="00167A93">
        <w:instrText xml:space="preserve"> PAGEREF _Toc291251587 \h </w:instrText>
      </w:r>
      <w:r w:rsidR="00167A93">
        <w:fldChar w:fldCharType="separate"/>
      </w:r>
      <w:r w:rsidR="005F7546">
        <w:t>16</w:t>
      </w:r>
      <w:r w:rsidR="00167A93">
        <w:fldChar w:fldCharType="end"/>
      </w:r>
    </w:p>
    <w:p w14:paraId="07C9F984" w14:textId="77777777" w:rsidR="00167A93" w:rsidRDefault="00167A93">
      <w:pPr>
        <w:pStyle w:val="TableofFigures"/>
        <w:tabs>
          <w:tab w:val="right" w:leader="dot" w:pos="9350"/>
        </w:tabs>
        <w:rPr>
          <w:rFonts w:asciiTheme="minorHAnsi" w:eastAsiaTheme="minorEastAsia" w:hAnsiTheme="minorHAnsi" w:cstheme="minorBidi"/>
          <w:sz w:val="24"/>
          <w:szCs w:val="24"/>
          <w:lang w:eastAsia="ja-JP"/>
        </w:rPr>
      </w:pPr>
      <w:r>
        <w:t>Figure 1, Sensor Network Connectivity</w:t>
      </w:r>
      <w:r>
        <w:tab/>
      </w:r>
      <w:r>
        <w:fldChar w:fldCharType="begin"/>
      </w:r>
      <w:r>
        <w:instrText xml:space="preserve"> PAGEREF _Toc291251588 \h </w:instrText>
      </w:r>
      <w:r>
        <w:fldChar w:fldCharType="separate"/>
      </w:r>
      <w:r w:rsidR="005F7546">
        <w:t>18</w:t>
      </w:r>
      <w:r>
        <w:fldChar w:fldCharType="end"/>
      </w:r>
    </w:p>
    <w:p w14:paraId="6A75FAFE" w14:textId="77777777" w:rsidR="00167A93" w:rsidRDefault="00167A93">
      <w:pPr>
        <w:pStyle w:val="TableofFigures"/>
        <w:tabs>
          <w:tab w:val="right" w:leader="dot" w:pos="9350"/>
        </w:tabs>
        <w:rPr>
          <w:rFonts w:asciiTheme="minorHAnsi" w:eastAsiaTheme="minorEastAsia" w:hAnsiTheme="minorHAnsi" w:cstheme="minorBidi"/>
          <w:sz w:val="24"/>
          <w:szCs w:val="24"/>
          <w:lang w:eastAsia="ja-JP"/>
        </w:rPr>
      </w:pPr>
      <w:r>
        <w:t>Figure 2: Sensor Things API basic data model</w:t>
      </w:r>
      <w:r>
        <w:tab/>
      </w:r>
      <w:r>
        <w:fldChar w:fldCharType="begin"/>
      </w:r>
      <w:r>
        <w:instrText xml:space="preserve"> PAGEREF _Toc291251589 \h </w:instrText>
      </w:r>
      <w:r>
        <w:fldChar w:fldCharType="separate"/>
      </w:r>
      <w:r w:rsidR="005F7546">
        <w:t>22</w:t>
      </w:r>
      <w:r>
        <w:fldChar w:fldCharType="end"/>
      </w:r>
    </w:p>
    <w:p w14:paraId="4B2ACB66" w14:textId="77777777" w:rsidR="00167A93" w:rsidRDefault="00167A93">
      <w:pPr>
        <w:pStyle w:val="TableofFigures"/>
        <w:tabs>
          <w:tab w:val="right" w:leader="dot" w:pos="9350"/>
        </w:tabs>
        <w:rPr>
          <w:rFonts w:asciiTheme="minorHAnsi" w:eastAsiaTheme="minorEastAsia" w:hAnsiTheme="minorHAnsi" w:cstheme="minorBidi"/>
          <w:sz w:val="24"/>
          <w:szCs w:val="24"/>
          <w:lang w:eastAsia="ja-JP"/>
        </w:rPr>
      </w:pPr>
      <w:r>
        <w:t>Figure 3: Initial notional system design for IMIS IoT Pilot.</w:t>
      </w:r>
      <w:r>
        <w:tab/>
      </w:r>
      <w:r>
        <w:fldChar w:fldCharType="begin"/>
      </w:r>
      <w:r>
        <w:instrText xml:space="preserve"> PAGEREF _Toc291251590 \h </w:instrText>
      </w:r>
      <w:r>
        <w:fldChar w:fldCharType="separate"/>
      </w:r>
      <w:r w:rsidR="005F7546">
        <w:t>24</w:t>
      </w:r>
      <w:r>
        <w:fldChar w:fldCharType="end"/>
      </w:r>
    </w:p>
    <w:p w14:paraId="71C6D9DD" w14:textId="77777777" w:rsidR="0051599A" w:rsidRDefault="0051599A" w:rsidP="0051599A">
      <w:pPr>
        <w:pStyle w:val="TOCHeading"/>
        <w:spacing w:before="80" w:after="80"/>
      </w:pPr>
      <w:r>
        <w:fldChar w:fldCharType="end"/>
      </w:r>
    </w:p>
    <w:p w14:paraId="0A054E27" w14:textId="77777777" w:rsidR="00C414E5" w:rsidRDefault="00C414E5" w:rsidP="009E35F5">
      <w:pPr>
        <w:pStyle w:val="AnnexHeader"/>
      </w:pPr>
      <w:bookmarkStart w:id="106" w:name="_Toc34475958"/>
      <w:bookmarkStart w:id="107" w:name="_Toc35536805"/>
      <w:bookmarkStart w:id="108" w:name="_Toc480701841"/>
      <w:bookmarkStart w:id="109" w:name="_Toc496594750"/>
      <w:bookmarkStart w:id="110" w:name="_Toc496596092"/>
      <w:bookmarkStart w:id="111" w:name="_Toc496693400"/>
      <w:bookmarkStart w:id="112" w:name="_Ref516967285"/>
      <w:bookmarkStart w:id="113" w:name="_Toc517173654"/>
      <w:bookmarkStart w:id="114" w:name="_Toc517174773"/>
      <w:bookmarkStart w:id="115" w:name="_Toc520597983"/>
      <w:bookmarkStart w:id="116" w:name="_Toc46639598"/>
      <w:bookmarkStart w:id="117" w:name="_Toc57100435"/>
      <w:bookmarkStart w:id="118" w:name="_Toc85447433"/>
      <w:r>
        <w:lastRenderedPageBreak/>
        <w:t xml:space="preserve">Annex B: </w:t>
      </w:r>
      <w:r w:rsidR="00EF340B">
        <w:t>IMIS IoT</w:t>
      </w:r>
      <w:r>
        <w:t xml:space="preserve"> Architecture</w:t>
      </w:r>
    </w:p>
    <w:p w14:paraId="0893E026" w14:textId="77777777" w:rsidR="00822167" w:rsidRDefault="00822167" w:rsidP="00872AD5">
      <w:pPr>
        <w:pStyle w:val="Heading1"/>
      </w:pPr>
      <w:bookmarkStart w:id="119" w:name="_Toc291251545"/>
      <w:r>
        <w:t>Introduction</w:t>
      </w:r>
      <w:bookmarkEnd w:id="119"/>
    </w:p>
    <w:p w14:paraId="2C0ACB34" w14:textId="77777777" w:rsidR="00822167" w:rsidRDefault="00822167" w:rsidP="00393573">
      <w:pPr>
        <w:pStyle w:val="Heading2"/>
      </w:pPr>
      <w:bookmarkStart w:id="120" w:name="_Toc291251546"/>
      <w:r>
        <w:t>Purpose</w:t>
      </w:r>
      <w:bookmarkEnd w:id="120"/>
    </w:p>
    <w:p w14:paraId="3522429D" w14:textId="1F4A42FE" w:rsidR="00822167" w:rsidRDefault="00822167" w:rsidP="000C3438">
      <w:r>
        <w:t>This document describes the</w:t>
      </w:r>
      <w:r w:rsidR="005058CA">
        <w:t xml:space="preserve"> detailed requirements and initial system</w:t>
      </w:r>
      <w:r>
        <w:t xml:space="preserve"> </w:t>
      </w:r>
      <w:r w:rsidR="009E35F5">
        <w:t>architecture</w:t>
      </w:r>
      <w:r>
        <w:t xml:space="preserve"> </w:t>
      </w:r>
      <w:r w:rsidR="00EA4711">
        <w:t>for</w:t>
      </w:r>
      <w:r w:rsidR="009E35F5">
        <w:t xml:space="preserve"> standards and technology to guide the </w:t>
      </w:r>
      <w:r w:rsidR="00A10882">
        <w:t>design</w:t>
      </w:r>
      <w:r w:rsidR="009E35F5">
        <w:t>, development</w:t>
      </w:r>
      <w:r w:rsidR="009045EC">
        <w:t>,</w:t>
      </w:r>
      <w:r w:rsidR="009E35F5">
        <w:t xml:space="preserve"> </w:t>
      </w:r>
      <w:r w:rsidR="009045EC">
        <w:t>testing, demonstration, and documentation</w:t>
      </w:r>
      <w:r w:rsidR="009E35F5">
        <w:t xml:space="preserve"> of </w:t>
      </w:r>
      <w:r w:rsidR="00A10882">
        <w:t xml:space="preserve">components, </w:t>
      </w:r>
      <w:r w:rsidR="00D97E64">
        <w:t xml:space="preserve">data, </w:t>
      </w:r>
      <w:r w:rsidR="00A10882">
        <w:t xml:space="preserve">services, encodings, protocols and </w:t>
      </w:r>
      <w:r w:rsidR="00892F53">
        <w:t>systems</w:t>
      </w:r>
      <w:r w:rsidR="00EA4711">
        <w:t xml:space="preserve"> for the </w:t>
      </w:r>
      <w:r w:rsidR="002A3948">
        <w:t xml:space="preserve">IMIS IoT </w:t>
      </w:r>
      <w:r w:rsidR="00123215">
        <w:t>Pilot initiative.</w:t>
      </w:r>
    </w:p>
    <w:p w14:paraId="7E6247C4" w14:textId="77777777" w:rsidR="00892F53" w:rsidRDefault="00892F53" w:rsidP="0009471E">
      <w:pPr>
        <w:pStyle w:val="BodyText"/>
      </w:pPr>
      <w:r>
        <w:t>This initiative is organized as an Interoperability Pilot</w:t>
      </w:r>
      <w:r w:rsidR="0009471E">
        <w:t xml:space="preserve"> as defined within the OGC Interoperability Program. The Program is described here (</w:t>
      </w:r>
      <w:hyperlink r:id="rId13" w:history="1">
        <w:r w:rsidR="0009471E" w:rsidRPr="0009471E">
          <w:rPr>
            <w:rStyle w:val="Hyperlink"/>
          </w:rPr>
          <w:t>http://www.opengeospatial.org/ogc/programs/ip</w:t>
        </w:r>
      </w:hyperlink>
      <w:r w:rsidR="0009471E">
        <w:t>) and the policies and procedures governing its initiatives are defined here (</w:t>
      </w:r>
      <w:hyperlink r:id="rId14" w:history="1">
        <w:r w:rsidR="0009471E" w:rsidRPr="00B54462">
          <w:rPr>
            <w:rStyle w:val="Hyperlink"/>
          </w:rPr>
          <w:t>http://www.opengeospatial.org/ogc/policies/ippp</w:t>
        </w:r>
      </w:hyperlink>
      <w:r w:rsidR="0009471E">
        <w:t>).</w:t>
      </w:r>
    </w:p>
    <w:p w14:paraId="1B681607" w14:textId="77777777" w:rsidR="0009471E" w:rsidRDefault="0009471E" w:rsidP="0009471E">
      <w:pPr>
        <w:pStyle w:val="BodyText"/>
      </w:pPr>
      <w:r>
        <w:t>The key objectives of the IMIS IoT Pilot are:</w:t>
      </w:r>
    </w:p>
    <w:p w14:paraId="0321CCB5" w14:textId="4CF8FDD0" w:rsidR="0009471E" w:rsidRDefault="00AE1961" w:rsidP="00AB03CC">
      <w:pPr>
        <w:pStyle w:val="BodyText"/>
        <w:numPr>
          <w:ilvl w:val="0"/>
          <w:numId w:val="38"/>
        </w:numPr>
        <w:spacing w:after="120"/>
      </w:pPr>
      <w:r w:rsidRPr="00AE1961">
        <w:t>Apply</w:t>
      </w:r>
      <w:r>
        <w:t xml:space="preserve"> Internet of Things</w:t>
      </w:r>
      <w:r w:rsidR="00EC27D2">
        <w:t xml:space="preserve"> (IoT)</w:t>
      </w:r>
      <w:r>
        <w:t xml:space="preserve"> principles to senso</w:t>
      </w:r>
      <w:r w:rsidR="003C3675">
        <w:t>ing</w:t>
      </w:r>
      <w:r>
        <w:t>capabilities for incident management</w:t>
      </w:r>
    </w:p>
    <w:p w14:paraId="3385FF90" w14:textId="1243B6EE" w:rsidR="00EC27D2" w:rsidRPr="00AE1961" w:rsidRDefault="00C76B49" w:rsidP="00AB03CC">
      <w:pPr>
        <w:pStyle w:val="BodyText"/>
        <w:numPr>
          <w:ilvl w:val="0"/>
          <w:numId w:val="38"/>
        </w:numPr>
        <w:spacing w:after="120"/>
      </w:pPr>
      <w:r>
        <w:t>Test</w:t>
      </w:r>
      <w:r w:rsidR="00EC27D2">
        <w:t xml:space="preserve"> the feasibility of ad hoc sensor deployment and exploitation by first responder groups</w:t>
      </w:r>
      <w:r w:rsidR="00D97E64">
        <w:t xml:space="preserve"> (e.g., Law enforcement, Fire, Emergency</w:t>
      </w:r>
      <w:r w:rsidR="003C3675">
        <w:t>Medical</w:t>
      </w:r>
      <w:r w:rsidR="00D97E64">
        <w:t>, and Emergency</w:t>
      </w:r>
      <w:r w:rsidR="003C3675">
        <w:t xml:space="preserve"> Management</w:t>
      </w:r>
      <w:r w:rsidR="00D97E64">
        <w:t>)</w:t>
      </w:r>
    </w:p>
    <w:p w14:paraId="2FAC3E7F" w14:textId="4ACD8E4B" w:rsidR="00AE1961" w:rsidRDefault="00C76B49" w:rsidP="00AB03CC">
      <w:pPr>
        <w:pStyle w:val="BodyText"/>
        <w:numPr>
          <w:ilvl w:val="0"/>
          <w:numId w:val="38"/>
        </w:numPr>
        <w:spacing w:after="120"/>
      </w:pPr>
      <w:r>
        <w:t xml:space="preserve">Prototype </w:t>
      </w:r>
      <w:r w:rsidR="00EC27D2">
        <w:t>a</w:t>
      </w:r>
      <w:r w:rsidR="00AE1961">
        <w:t xml:space="preserve"> standards-based architecture for </w:t>
      </w:r>
      <w:r w:rsidR="00EC27D2">
        <w:t>sensor-</w:t>
      </w:r>
      <w:r w:rsidR="003C3675">
        <w:t xml:space="preserve">derived </w:t>
      </w:r>
      <w:r w:rsidR="00EC27D2">
        <w:t>situation</w:t>
      </w:r>
      <w:r w:rsidR="005D60B8">
        <w:t>al</w:t>
      </w:r>
      <w:r w:rsidR="00EC27D2">
        <w:t xml:space="preserve"> awareness </w:t>
      </w:r>
      <w:r w:rsidR="003C3675">
        <w:t xml:space="preserve">that is </w:t>
      </w:r>
      <w:r w:rsidR="005D60B8">
        <w:t xml:space="preserve">shared </w:t>
      </w:r>
      <w:r w:rsidR="00EC27D2">
        <w:t>across multiple responder organizations</w:t>
      </w:r>
    </w:p>
    <w:p w14:paraId="78807670" w14:textId="63DCE8F7" w:rsidR="00EC27D2" w:rsidRDefault="003C3675" w:rsidP="00AB03CC">
      <w:pPr>
        <w:pStyle w:val="BodyText"/>
        <w:numPr>
          <w:ilvl w:val="0"/>
          <w:numId w:val="38"/>
        </w:numPr>
        <w:spacing w:after="120"/>
      </w:pPr>
      <w:r>
        <w:t xml:space="preserve">Create </w:t>
      </w:r>
      <w:r w:rsidR="00EC27D2">
        <w:t>IoT specifications and best pr</w:t>
      </w:r>
      <w:r w:rsidR="00C76B49">
        <w:t>actices</w:t>
      </w:r>
      <w:r>
        <w:t xml:space="preserve"> for incident management</w:t>
      </w:r>
      <w:r w:rsidR="00C76B49">
        <w:t xml:space="preserve"> through a process of broad collaboration</w:t>
      </w:r>
      <w:r>
        <w:t xml:space="preserve"> among stakeholders</w:t>
      </w:r>
      <w:r w:rsidR="00EC27D2">
        <w:t>, rapid iterati</w:t>
      </w:r>
      <w:r>
        <w:t>ve development</w:t>
      </w:r>
      <w:r w:rsidR="00EC27D2">
        <w:t xml:space="preserve">, </w:t>
      </w:r>
      <w:r w:rsidR="00C76B49">
        <w:t>and running code.</w:t>
      </w:r>
    </w:p>
    <w:p w14:paraId="42B6FE24" w14:textId="77777777" w:rsidR="00822167" w:rsidRDefault="00822167" w:rsidP="009E35F5">
      <w:pPr>
        <w:pStyle w:val="Heading2"/>
        <w:keepLines/>
        <w:tabs>
          <w:tab w:val="clear" w:pos="576"/>
          <w:tab w:val="clear" w:pos="720"/>
        </w:tabs>
        <w:spacing w:before="200" w:after="0"/>
        <w:jc w:val="left"/>
      </w:pPr>
      <w:bookmarkStart w:id="121" w:name="_Toc330454908"/>
      <w:bookmarkStart w:id="122" w:name="_Toc330454910"/>
      <w:bookmarkStart w:id="123" w:name="_Toc330454911"/>
      <w:bookmarkStart w:id="124" w:name="_Toc330454914"/>
      <w:bookmarkStart w:id="125" w:name="_Toc330454916"/>
      <w:bookmarkStart w:id="126" w:name="_Toc330454920"/>
      <w:bookmarkStart w:id="127" w:name="_Toc330454921"/>
      <w:bookmarkStart w:id="128" w:name="_Toc330454923"/>
      <w:bookmarkStart w:id="129" w:name="_Toc330454930"/>
      <w:bookmarkStart w:id="130" w:name="_Toc330454931"/>
      <w:bookmarkStart w:id="131" w:name="_Toc330454932"/>
      <w:bookmarkStart w:id="132" w:name="_Toc330454933"/>
      <w:bookmarkStart w:id="133" w:name="_Toc330454934"/>
      <w:bookmarkStart w:id="134" w:name="_Toc330454937"/>
      <w:bookmarkStart w:id="135" w:name="_Toc330454939"/>
      <w:bookmarkStart w:id="136" w:name="_Toc330454940"/>
      <w:bookmarkStart w:id="137" w:name="_Toc330454943"/>
      <w:bookmarkStart w:id="138" w:name="_Toc330454947"/>
      <w:bookmarkStart w:id="139" w:name="_Toc330454948"/>
      <w:bookmarkStart w:id="140" w:name="_Toc330454949"/>
      <w:bookmarkStart w:id="141" w:name="_Toc330454951"/>
      <w:bookmarkStart w:id="142" w:name="_Toc330454952"/>
      <w:bookmarkStart w:id="143" w:name="_Toc330454953"/>
      <w:bookmarkStart w:id="144" w:name="_Toc330454954"/>
      <w:bookmarkStart w:id="145" w:name="_Toc330454955"/>
      <w:bookmarkStart w:id="146" w:name="_Toc330454956"/>
      <w:bookmarkStart w:id="147" w:name="_Toc330454957"/>
      <w:bookmarkStart w:id="148" w:name="_Toc330454959"/>
      <w:bookmarkStart w:id="149" w:name="_Toc190408405"/>
      <w:bookmarkStart w:id="150" w:name="_Toc291251547"/>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t>About This Document</w:t>
      </w:r>
      <w:bookmarkEnd w:id="149"/>
      <w:bookmarkEnd w:id="150"/>
    </w:p>
    <w:p w14:paraId="32118E25" w14:textId="20F20981" w:rsidR="005058CA" w:rsidRDefault="005058CA" w:rsidP="00872AD5">
      <w:r>
        <w:t>Section 2 provide</w:t>
      </w:r>
      <w:r w:rsidR="00B368E3">
        <w:t>s</w:t>
      </w:r>
      <w:r>
        <w:t xml:space="preserve"> a detailed description of pilot requirements and deliverables.</w:t>
      </w:r>
    </w:p>
    <w:p w14:paraId="01408260" w14:textId="7CFBD431" w:rsidR="00822167" w:rsidRPr="00B425E9" w:rsidRDefault="005058CA" w:rsidP="00872AD5">
      <w:r>
        <w:t>Section 3 describes t</w:t>
      </w:r>
      <w:r w:rsidR="000A7CD6">
        <w:t xml:space="preserve">he </w:t>
      </w:r>
      <w:r>
        <w:t xml:space="preserve">pilot </w:t>
      </w:r>
      <w:r w:rsidR="000A7CD6">
        <w:t>architecture</w:t>
      </w:r>
      <w:r>
        <w:t>, presented</w:t>
      </w:r>
      <w:r w:rsidR="000A7CD6">
        <w:t xml:space="preserve"> </w:t>
      </w:r>
      <w:r>
        <w:t>according</w:t>
      </w:r>
      <w:r w:rsidR="000A7CD6">
        <w:t xml:space="preserve"> </w:t>
      </w:r>
      <w:r w:rsidR="00822167" w:rsidRPr="00B425E9">
        <w:t xml:space="preserve"> </w:t>
      </w:r>
      <w:r w:rsidR="00D97E64">
        <w:t xml:space="preserve">to </w:t>
      </w:r>
      <w:r w:rsidR="00822167" w:rsidRPr="00B425E9">
        <w:t xml:space="preserve">the Reference Model for Open Distributed Processing (RM-ODP), ISO/IEC 10746.  </w:t>
      </w:r>
      <w:r w:rsidR="0009471E">
        <w:t>An RM-ODP architecture</w:t>
      </w:r>
      <w:r w:rsidR="00822167" w:rsidRPr="00B425E9">
        <w:t xml:space="preserve"> is </w:t>
      </w:r>
      <w:r w:rsidR="0009471E">
        <w:t>described</w:t>
      </w:r>
      <w:r w:rsidR="00822167" w:rsidRPr="00B425E9">
        <w:t xml:space="preserve"> </w:t>
      </w:r>
      <w:r w:rsidR="0009471E">
        <w:t xml:space="preserve">by way of </w:t>
      </w:r>
      <w:r w:rsidR="000A7CD6" w:rsidRPr="00B425E9">
        <w:t xml:space="preserve"> </w:t>
      </w:r>
      <w:r w:rsidR="0009471E">
        <w:t>five</w:t>
      </w:r>
      <w:r w:rsidR="000A7CD6">
        <w:t xml:space="preserve"> </w:t>
      </w:r>
      <w:r w:rsidR="00822167" w:rsidRPr="00B425E9">
        <w:t>viewpoint</w:t>
      </w:r>
      <w:r w:rsidR="000A7CD6">
        <w:t>s.</w:t>
      </w:r>
      <w:r w:rsidR="0009471E">
        <w:t xml:space="preserve"> Four viewpoints are included in this document and the fifth will be developed in the course of Pilot execution.</w:t>
      </w:r>
    </w:p>
    <w:p w14:paraId="22D65872" w14:textId="77777777" w:rsidR="00822167" w:rsidRDefault="00822167" w:rsidP="009C2E20">
      <w:pPr>
        <w:pStyle w:val="BodyText"/>
        <w:numPr>
          <w:ilvl w:val="0"/>
          <w:numId w:val="78"/>
        </w:numPr>
      </w:pPr>
      <w:r>
        <w:t xml:space="preserve">The </w:t>
      </w:r>
      <w:r w:rsidRPr="000D66AD">
        <w:rPr>
          <w:b/>
          <w:i/>
        </w:rPr>
        <w:t>enterprise viewpoint</w:t>
      </w:r>
      <w:r>
        <w:t xml:space="preserve"> explains the business reasons for this project, who should be involved, and what should be done in simple terms. It is intended primarily for high-level decision makers. </w:t>
      </w:r>
    </w:p>
    <w:p w14:paraId="140BD067" w14:textId="00B8A709" w:rsidR="00822167" w:rsidRDefault="00822167" w:rsidP="009C2E20">
      <w:pPr>
        <w:pStyle w:val="BodyText"/>
        <w:numPr>
          <w:ilvl w:val="0"/>
          <w:numId w:val="78"/>
        </w:numPr>
      </w:pPr>
      <w:r>
        <w:t xml:space="preserve">The </w:t>
      </w:r>
      <w:r w:rsidRPr="000D66AD">
        <w:rPr>
          <w:b/>
          <w:i/>
        </w:rPr>
        <w:t>information viewpoint</w:t>
      </w:r>
      <w:r>
        <w:t xml:space="preserve"> lists and briefly describes the encodings and information models most applicable for the system, based on the </w:t>
      </w:r>
      <w:r w:rsidR="00D97E64">
        <w:t xml:space="preserve">scenario and associated </w:t>
      </w:r>
      <w:r>
        <w:t>use cases</w:t>
      </w:r>
      <w:r w:rsidR="00D97E64">
        <w:t xml:space="preserve"> (e.g. first responder groups)</w:t>
      </w:r>
      <w:r>
        <w:t xml:space="preserve"> described in the enterprise viewpoint. </w:t>
      </w:r>
    </w:p>
    <w:p w14:paraId="2446CD3C" w14:textId="77777777" w:rsidR="00822167" w:rsidRDefault="00822167" w:rsidP="009C2E20">
      <w:pPr>
        <w:pStyle w:val="BodyText"/>
        <w:numPr>
          <w:ilvl w:val="0"/>
          <w:numId w:val="78"/>
        </w:numPr>
      </w:pPr>
      <w:r>
        <w:t xml:space="preserve">The </w:t>
      </w:r>
      <w:r w:rsidRPr="000D66AD">
        <w:rPr>
          <w:b/>
          <w:i/>
        </w:rPr>
        <w:t>computational viewpoint</w:t>
      </w:r>
      <w:r>
        <w:t xml:space="preserve"> similarly describes </w:t>
      </w:r>
      <w:r w:rsidR="00004D9F">
        <w:t xml:space="preserve">a </w:t>
      </w:r>
      <w:r>
        <w:t xml:space="preserve">basic set of </w:t>
      </w:r>
      <w:r w:rsidR="00E36F35">
        <w:t xml:space="preserve">components (including </w:t>
      </w:r>
      <w:r>
        <w:t>web services</w:t>
      </w:r>
      <w:r w:rsidR="00E36F35">
        <w:t>)</w:t>
      </w:r>
      <w:r>
        <w:t xml:space="preserve"> and other interfaces/protocols most applicable for th</w:t>
      </w:r>
      <w:r w:rsidR="00004D9F">
        <w:t>is</w:t>
      </w:r>
      <w:r>
        <w:t xml:space="preserve"> </w:t>
      </w:r>
      <w:r w:rsidR="00004D9F">
        <w:t>initiative</w:t>
      </w:r>
      <w:r>
        <w:t xml:space="preserve">, based on the use cases, but stopping short of “wiring the system together”. </w:t>
      </w:r>
    </w:p>
    <w:p w14:paraId="4B3C2F68" w14:textId="77777777" w:rsidR="00822167" w:rsidRDefault="00836D4C" w:rsidP="009C2E20">
      <w:pPr>
        <w:pStyle w:val="BodyText"/>
        <w:numPr>
          <w:ilvl w:val="0"/>
          <w:numId w:val="78"/>
        </w:numPr>
      </w:pPr>
      <w:r>
        <w:t>An</w:t>
      </w:r>
      <w:r w:rsidRPr="00766A7C">
        <w:t xml:space="preserve"> </w:t>
      </w:r>
      <w:r w:rsidR="00822167" w:rsidRPr="00766A7C">
        <w:rPr>
          <w:b/>
          <w:i/>
        </w:rPr>
        <w:t>engineering viewpoint</w:t>
      </w:r>
      <w:r w:rsidR="00822167" w:rsidRPr="00766A7C">
        <w:t xml:space="preserve"> </w:t>
      </w:r>
      <w:r>
        <w:t>is prepared to show</w:t>
      </w:r>
      <w:r w:rsidR="00822167" w:rsidRPr="00766A7C">
        <w:t xml:space="preserve"> how various components of </w:t>
      </w:r>
      <w:r>
        <w:t>a</w:t>
      </w:r>
      <w:r w:rsidRPr="00766A7C">
        <w:t xml:space="preserve"> </w:t>
      </w:r>
      <w:r w:rsidR="00822167" w:rsidRPr="00766A7C">
        <w:t>system architecture would fit together.  This represents a conceptual model of the system architecture, not at the level of detail needed for a physical implementation, but rather a template that should be as platform-neutral as possible.</w:t>
      </w:r>
    </w:p>
    <w:p w14:paraId="5EF3783E" w14:textId="333E21C5" w:rsidR="00DD2095" w:rsidRDefault="00836D4C" w:rsidP="009C2E20">
      <w:pPr>
        <w:pStyle w:val="ListParagraph"/>
        <w:numPr>
          <w:ilvl w:val="0"/>
          <w:numId w:val="78"/>
        </w:numPr>
        <w:spacing w:after="0" w:line="240" w:lineRule="auto"/>
      </w:pPr>
      <w:r>
        <w:t xml:space="preserve">A </w:t>
      </w:r>
      <w:r w:rsidR="00C85A96" w:rsidRPr="00B368E3">
        <w:rPr>
          <w:rFonts w:eastAsia="MS Mincho"/>
          <w:b/>
          <w:i/>
        </w:rPr>
        <w:t>technology viewpoint</w:t>
      </w:r>
      <w:r w:rsidR="00C85A96">
        <w:t xml:space="preserve"> is concerned with the </w:t>
      </w:r>
      <w:r w:rsidR="00DD2095">
        <w:t>deployed</w:t>
      </w:r>
      <w:r w:rsidR="00C85A96">
        <w:t xml:space="preserve"> system, describing hardware</w:t>
      </w:r>
      <w:r w:rsidR="00D97E64">
        <w:t>,</w:t>
      </w:r>
      <w:r w:rsidR="00C85A96">
        <w:t xml:space="preserve"> software</w:t>
      </w:r>
      <w:r w:rsidR="00D97E64">
        <w:t xml:space="preserve"> and data</w:t>
      </w:r>
      <w:r w:rsidR="00C85A96">
        <w:t xml:space="preserve"> </w:t>
      </w:r>
      <w:r w:rsidR="002075FB">
        <w:t xml:space="preserve">to be </w:t>
      </w:r>
      <w:r w:rsidR="00C85A96">
        <w:t xml:space="preserve">used. </w:t>
      </w:r>
      <w:r w:rsidRPr="004B07A8">
        <w:t xml:space="preserve">For this </w:t>
      </w:r>
      <w:r w:rsidR="00EF340B" w:rsidRPr="004B07A8">
        <w:t>IMIS IoT</w:t>
      </w:r>
      <w:r w:rsidRPr="004B07A8">
        <w:t xml:space="preserve"> initiative, a </w:t>
      </w:r>
      <w:r w:rsidR="002B0BF4" w:rsidRPr="004B07A8">
        <w:t>technology</w:t>
      </w:r>
      <w:r w:rsidRPr="004B07A8">
        <w:t xml:space="preserve"> viewpoint </w:t>
      </w:r>
      <w:r w:rsidR="004B07A8">
        <w:t>will be developed in the course of pilot execution</w:t>
      </w:r>
      <w:r w:rsidR="00B368E3">
        <w:t>.</w:t>
      </w:r>
    </w:p>
    <w:p w14:paraId="3D58C162" w14:textId="65DBB616" w:rsidR="00420D47" w:rsidRDefault="00EF340B" w:rsidP="00540A2E">
      <w:pPr>
        <w:pStyle w:val="Heading1"/>
        <w:keepNext/>
        <w:pageBreakBefore/>
      </w:pPr>
      <w:bookmarkStart w:id="151" w:name="_Toc330454961"/>
      <w:bookmarkStart w:id="152" w:name="_Toc330454963"/>
      <w:bookmarkStart w:id="153" w:name="_Toc330454964"/>
      <w:bookmarkStart w:id="154" w:name="_Toc330454965"/>
      <w:bookmarkStart w:id="155" w:name="_Toc330454966"/>
      <w:bookmarkStart w:id="156" w:name="_Toc330454967"/>
      <w:bookmarkStart w:id="157" w:name="_Toc330454969"/>
      <w:bookmarkStart w:id="158" w:name="_Toc291251548"/>
      <w:bookmarkEnd w:id="151"/>
      <w:bookmarkEnd w:id="152"/>
      <w:bookmarkEnd w:id="153"/>
      <w:bookmarkEnd w:id="154"/>
      <w:bookmarkEnd w:id="155"/>
      <w:bookmarkEnd w:id="156"/>
      <w:bookmarkEnd w:id="157"/>
      <w:r>
        <w:lastRenderedPageBreak/>
        <w:t>IMIS IoT</w:t>
      </w:r>
      <w:r w:rsidR="00420D47">
        <w:t xml:space="preserve"> </w:t>
      </w:r>
      <w:r w:rsidR="005058CA">
        <w:t xml:space="preserve">Functional </w:t>
      </w:r>
      <w:r w:rsidR="00420D47">
        <w:t>Requirements</w:t>
      </w:r>
      <w:bookmarkEnd w:id="158"/>
    </w:p>
    <w:p w14:paraId="11587B65" w14:textId="40952F23" w:rsidR="00D97E64" w:rsidRPr="00DF7BDE" w:rsidRDefault="00D97E64" w:rsidP="00D97E64">
      <w:r w:rsidRPr="00DF7BDE">
        <w:t xml:space="preserve">Incident responders </w:t>
      </w:r>
      <w:r w:rsidR="00B368E3">
        <w:t>are challenged with</w:t>
      </w:r>
      <w:r w:rsidRPr="00DF7BDE">
        <w:t xml:space="preserve"> tracking rapidly expanding situations when their teams are already busy dealing with what has already occurred</w:t>
      </w:r>
      <w:r w:rsidR="008D4548">
        <w:t>,</w:t>
      </w:r>
      <w:r>
        <w:t xml:space="preserve"> and as additional responders across domain arrive on scene</w:t>
      </w:r>
      <w:r w:rsidRPr="00DF7BDE">
        <w:t xml:space="preserve">.  Responders must often rely on anecdotal reports or </w:t>
      </w:r>
      <w:r>
        <w:t xml:space="preserve">static, dated, time sensitive data </w:t>
      </w:r>
      <w:r w:rsidRPr="00DF7BDE">
        <w:t xml:space="preserve">to map out present conditions and may lack the data to </w:t>
      </w:r>
      <w:r w:rsidR="00B368E3">
        <w:t xml:space="preserve">keep pace with </w:t>
      </w:r>
      <w:r w:rsidRPr="00DF7BDE">
        <w:t>widespread or fast moving incidents. Rapid deployment of lightweight, inexpensive</w:t>
      </w:r>
      <w:r w:rsidR="00B368E3">
        <w:t>, and potentially single use</w:t>
      </w:r>
      <w:r w:rsidRPr="00DF7BDE">
        <w:t xml:space="preserve"> sensors offers new opportunities to gather up-to-date information about event progression, particularly where first-hand observations are dangerous or unavailable, teams are stretched thin, and scarce resources need to be allocated as effectively as possible. </w:t>
      </w:r>
      <w:r>
        <w:t>However; this also introduces the potential for data saturation preventing concise, actionable data and resulting decision</w:t>
      </w:r>
      <w:r w:rsidR="008D4548">
        <w:t>s</w:t>
      </w:r>
      <w:r>
        <w:t xml:space="preserve"> to ensure the responders are </w:t>
      </w:r>
      <w:r w:rsidRPr="008D4548">
        <w:rPr>
          <w:b/>
          <w:i/>
        </w:rPr>
        <w:t>connected, protected</w:t>
      </w:r>
      <w:r w:rsidR="00536480" w:rsidRPr="008D4548">
        <w:rPr>
          <w:b/>
          <w:i/>
        </w:rPr>
        <w:t>,</w:t>
      </w:r>
      <w:r w:rsidRPr="008D4548">
        <w:rPr>
          <w:b/>
          <w:i/>
        </w:rPr>
        <w:t xml:space="preserve"> and fully aware</w:t>
      </w:r>
      <w:r>
        <w:t xml:space="preserve">.   </w:t>
      </w:r>
      <w:r w:rsidRPr="00DF7BDE">
        <w:t xml:space="preserve">These opportunities can only be realized if responders and incident </w:t>
      </w:r>
      <w:r w:rsidR="00536480">
        <w:t>commanders</w:t>
      </w:r>
      <w:r w:rsidRPr="00DF7BDE">
        <w:t xml:space="preserve"> get useful and timely information from such sensors commensurate with </w:t>
      </w:r>
      <w:r w:rsidR="00536480">
        <w:t xml:space="preserve">the </w:t>
      </w:r>
      <w:r>
        <w:t>ability to interpret the</w:t>
      </w:r>
      <w:r w:rsidR="00536480">
        <w:t>ir readings</w:t>
      </w:r>
      <w:r>
        <w:t xml:space="preserve"> and </w:t>
      </w:r>
      <w:r w:rsidR="00536480">
        <w:t xml:space="preserve">sustain </w:t>
      </w:r>
      <w:r>
        <w:t>the</w:t>
      </w:r>
      <w:r w:rsidR="00CE6CC0">
        <w:t>ir</w:t>
      </w:r>
      <w:r>
        <w:t xml:space="preserve"> operational cost</w:t>
      </w:r>
      <w:r w:rsidR="00536480">
        <w:t>s.</w:t>
      </w:r>
      <w:r w:rsidRPr="00DF7BDE">
        <w:t xml:space="preserve"> </w:t>
      </w:r>
    </w:p>
    <w:p w14:paraId="175AF537" w14:textId="72B50B45" w:rsidR="004B07A8" w:rsidRDefault="004B07A8" w:rsidP="004B07A8">
      <w:r>
        <w:t xml:space="preserve">Many new forms of low-cost wireless sensors are being developed that can quickly make a wide range of pertinent observations of the incident environment and its effects on people, including responders themselves.  Among the types of sensor available or being developed are </w:t>
      </w:r>
      <w:r w:rsidRPr="00723FD9">
        <w:rPr>
          <w:b/>
          <w:i/>
        </w:rPr>
        <w:t>in situ</w:t>
      </w:r>
      <w:r>
        <w:t xml:space="preserve"> environmental sensors, wearable sensors, and imaging sensors on mobile platforms such as UAV’s and autonomous vehicles. Evolving networking technology is making it possible to for these sensors to establish basic network connectivity automatically as soon as they are deployed, either as IP devices directly on the Internet or indirectly through low-power local mesh protocols such as ZigBee or Thread.</w:t>
      </w:r>
    </w:p>
    <w:p w14:paraId="6052AEEA" w14:textId="267E3C32" w:rsidR="004B07A8" w:rsidRDefault="004B07A8" w:rsidP="00420D47">
      <w:pPr>
        <w:rPr>
          <w:highlight w:val="yellow"/>
          <w:lang w:eastAsia="zh-CN"/>
        </w:rPr>
      </w:pPr>
      <w:r>
        <w:t xml:space="preserve">Basic connectivity is not enough, however. Actionable observations, </w:t>
      </w:r>
      <w:r w:rsidR="00D97E64">
        <w:t xml:space="preserve">analysis, </w:t>
      </w:r>
      <w:r>
        <w:t>alerts, and predictions need to be easily discoverable and accessible from</w:t>
      </w:r>
      <w:r w:rsidRPr="00BF2A76">
        <w:t xml:space="preserve"> emergency response information systems</w:t>
      </w:r>
      <w:r>
        <w:t xml:space="preserve"> and mobile devices alike to provide a dynamic and shared view of changing conditions</w:t>
      </w:r>
      <w:r w:rsidRPr="00BF2A76">
        <w:t xml:space="preserve">. </w:t>
      </w:r>
      <w:r>
        <w:t xml:space="preserve">Many current sensor platforms need too much pre-planning and infrastructure set-up to work in rapidly evolving situations. Their non-standards-based integration systems may present barriers to information sharing. What is needed is a way of making sensors easily and immediately </w:t>
      </w:r>
      <w:r w:rsidR="00D97E64">
        <w:t xml:space="preserve">identifiable, accessible, </w:t>
      </w:r>
      <w:r>
        <w:t>usable</w:t>
      </w:r>
      <w:r w:rsidR="00536480">
        <w:t>,</w:t>
      </w:r>
      <w:r>
        <w:t xml:space="preserve"> and useful across all teams </w:t>
      </w:r>
      <w:r w:rsidR="00D97E64">
        <w:t xml:space="preserve">(on-scene and </w:t>
      </w:r>
      <w:r w:rsidR="00723FD9">
        <w:t xml:space="preserve">in </w:t>
      </w:r>
      <w:r w:rsidR="00D97E64">
        <w:t xml:space="preserve">Operation Centers) </w:t>
      </w:r>
      <w:r>
        <w:t xml:space="preserve">and information management platforms joining an incident response. </w:t>
      </w:r>
      <w:r w:rsidRPr="00965712">
        <w:rPr>
          <w:highlight w:val="yellow"/>
          <w:lang w:eastAsia="zh-CN"/>
        </w:rPr>
        <w:t xml:space="preserve"> </w:t>
      </w:r>
    </w:p>
    <w:p w14:paraId="501CD4C2" w14:textId="237D27F9" w:rsidR="004B07A8" w:rsidRPr="00C5379B" w:rsidRDefault="004B07A8" w:rsidP="004B07A8">
      <w:pPr>
        <w:pStyle w:val="BodyText"/>
      </w:pPr>
      <w:r>
        <w:t xml:space="preserve">This pilot project seeks to prototype and demonstrate standards-based approaches to a series of challenges that hinder effective </w:t>
      </w:r>
      <w:r w:rsidR="00536480">
        <w:t xml:space="preserve">adoption </w:t>
      </w:r>
      <w:r>
        <w:t>of large-scale sensor use for incident management. These approaches draw strongly upon the philosophy of the Internet of Things (IoT) where the most lightweight sensing devices ha</w:t>
      </w:r>
      <w:r w:rsidR="00536480">
        <w:t>ve</w:t>
      </w:r>
      <w:r>
        <w:t xml:space="preserve"> their own first class Internet status and there are no limits to the ways they can be linked together for maximum value and resilience. The opportunity of IoT</w:t>
      </w:r>
      <w:r w:rsidR="00536480">
        <w:t>,</w:t>
      </w:r>
      <w:r>
        <w:t xml:space="preserve"> in turn</w:t>
      </w:r>
      <w:r w:rsidR="00536480">
        <w:t>,</w:t>
      </w:r>
      <w:r>
        <w:t xml:space="preserve"> poses its own challenges of information overload and false interpretation with its potential for unprecedented data volume and diversity. </w:t>
      </w:r>
    </w:p>
    <w:p w14:paraId="7D1AED9D" w14:textId="13733647" w:rsidR="004B07A8" w:rsidRPr="00F8475F" w:rsidRDefault="004B07A8" w:rsidP="002B0BF4">
      <w:pPr>
        <w:pStyle w:val="ListParagraph"/>
        <w:numPr>
          <w:ilvl w:val="0"/>
          <w:numId w:val="39"/>
        </w:numPr>
        <w:jc w:val="left"/>
      </w:pPr>
      <w:r w:rsidRPr="00F8475F">
        <w:t>Management of quickly changing sensor technology is overwhelming for responder organizations without a means for virtually automatic ad</w:t>
      </w:r>
      <w:r w:rsidR="00536480" w:rsidRPr="00F8475F">
        <w:t>-</w:t>
      </w:r>
      <w:r w:rsidRPr="00F8475F">
        <w:t xml:space="preserve">hoc </w:t>
      </w:r>
      <w:r w:rsidRPr="00F8475F">
        <w:rPr>
          <w:b/>
        </w:rPr>
        <w:t>deployment, discovery, and integration</w:t>
      </w:r>
      <w:r w:rsidRPr="00F8475F">
        <w:t xml:space="preserve"> of diverse sensors and platforms.</w:t>
      </w:r>
    </w:p>
    <w:p w14:paraId="0D1AA9C2" w14:textId="77777777" w:rsidR="004B07A8" w:rsidRPr="00F8475F" w:rsidRDefault="004B07A8" w:rsidP="002B0BF4">
      <w:pPr>
        <w:pStyle w:val="ListParagraph"/>
        <w:numPr>
          <w:ilvl w:val="0"/>
          <w:numId w:val="39"/>
        </w:numPr>
        <w:jc w:val="left"/>
      </w:pPr>
      <w:r w:rsidRPr="00F8475F">
        <w:t>Closed, non-standards-based vendor systems for sensor integration present obstacles to sharing of sensor information, observations, and analyses among different organizations, domains, and incident management systems.</w:t>
      </w:r>
    </w:p>
    <w:p w14:paraId="52EF258E" w14:textId="0B3062D1" w:rsidR="004B07A8" w:rsidRPr="00F8475F" w:rsidRDefault="004B07A8" w:rsidP="002B0BF4">
      <w:pPr>
        <w:pStyle w:val="ListParagraph"/>
        <w:numPr>
          <w:ilvl w:val="0"/>
          <w:numId w:val="39"/>
        </w:numPr>
        <w:jc w:val="left"/>
      </w:pPr>
      <w:r w:rsidRPr="00F8475F">
        <w:t>In most cases, raw sensor observations are not particularly useful to busy responders.   An overwhelming volume of sensor data can in fact be harmful</w:t>
      </w:r>
      <w:r w:rsidR="00FD0AFB" w:rsidRPr="00F8475F">
        <w:t xml:space="preserve"> as it introduces the potential for data saturation preventing concise, actionable information and resulting decision to ensure the responders are </w:t>
      </w:r>
      <w:r w:rsidR="00FD0AFB" w:rsidRPr="00F8475F">
        <w:rPr>
          <w:b/>
          <w:i/>
        </w:rPr>
        <w:t>connected, protected and fully aware</w:t>
      </w:r>
      <w:r w:rsidRPr="00F8475F">
        <w:t xml:space="preserve">. Actionable information (such as the migration trend of a brush fire) and answers to critical questions (“who needs to be evacuated”) require applying valid interpretations and models to observations in real time, then </w:t>
      </w:r>
      <w:r w:rsidRPr="00F8475F">
        <w:lastRenderedPageBreak/>
        <w:t xml:space="preserve">communicating the results </w:t>
      </w:r>
      <w:r w:rsidR="00FD0AFB" w:rsidRPr="00F8475F">
        <w:t>to the right people, at the right time, in a secure manner to protect life and property.  Some of the challenges faced include</w:t>
      </w:r>
      <w:r w:rsidRPr="00F8475F">
        <w:t>:</w:t>
      </w:r>
    </w:p>
    <w:p w14:paraId="1537228D" w14:textId="77777777" w:rsidR="00FD0AFB" w:rsidRPr="00F8475F" w:rsidRDefault="00FD0AFB" w:rsidP="004B07A8">
      <w:pPr>
        <w:pStyle w:val="ListParagraph"/>
        <w:numPr>
          <w:ilvl w:val="1"/>
          <w:numId w:val="39"/>
        </w:numPr>
      </w:pPr>
      <w:r w:rsidRPr="00F8475F">
        <w:t>Sensor discovery and access</w:t>
      </w:r>
    </w:p>
    <w:p w14:paraId="3780ECDD" w14:textId="40A435A5" w:rsidR="00FD0AFB" w:rsidRPr="00F8475F" w:rsidRDefault="00FD0AFB" w:rsidP="004B07A8">
      <w:pPr>
        <w:pStyle w:val="ListParagraph"/>
        <w:numPr>
          <w:ilvl w:val="1"/>
          <w:numId w:val="39"/>
        </w:numPr>
      </w:pPr>
      <w:r w:rsidRPr="00F8475F">
        <w:t>Sensor data saturation vs. actionable information extracts</w:t>
      </w:r>
    </w:p>
    <w:p w14:paraId="777920A7" w14:textId="71A24E64" w:rsidR="00FD0AFB" w:rsidRPr="00F8475F" w:rsidRDefault="00FD0AFB" w:rsidP="004B07A8">
      <w:pPr>
        <w:pStyle w:val="ListParagraph"/>
        <w:numPr>
          <w:ilvl w:val="1"/>
          <w:numId w:val="39"/>
        </w:numPr>
      </w:pPr>
      <w:r w:rsidRPr="00F8475F">
        <w:t xml:space="preserve">Sensor </w:t>
      </w:r>
      <w:r w:rsidR="002B0BF4" w:rsidRPr="00F8475F">
        <w:t>data refresh</w:t>
      </w:r>
      <w:r w:rsidRPr="00F8475F">
        <w:t xml:space="preserve"> and change parameters</w:t>
      </w:r>
    </w:p>
    <w:p w14:paraId="183EA8F7" w14:textId="0314A893" w:rsidR="00AE6BA9" w:rsidRPr="00F8475F" w:rsidRDefault="00FD0AFB" w:rsidP="004B07A8">
      <w:pPr>
        <w:pStyle w:val="ListParagraph"/>
        <w:numPr>
          <w:ilvl w:val="1"/>
          <w:numId w:val="39"/>
        </w:numPr>
      </w:pPr>
      <w:r w:rsidRPr="00F8475F">
        <w:t xml:space="preserve">Sensor integration (e.g., Blue Force Tracks within Dynamic and static </w:t>
      </w:r>
      <w:r w:rsidR="00AE6BA9" w:rsidRPr="00F8475F">
        <w:t>visualization framework or proximity parameters)</w:t>
      </w:r>
    </w:p>
    <w:p w14:paraId="0C9FBB8D" w14:textId="6EBBE8EB" w:rsidR="00AE6BA9" w:rsidRPr="00F8475F" w:rsidRDefault="00AE6BA9" w:rsidP="004B07A8">
      <w:pPr>
        <w:pStyle w:val="ListParagraph"/>
        <w:numPr>
          <w:ilvl w:val="1"/>
          <w:numId w:val="39"/>
        </w:numPr>
      </w:pPr>
      <w:r w:rsidRPr="00F8475F">
        <w:t>Communications limitations</w:t>
      </w:r>
      <w:r w:rsidR="00723FD9" w:rsidRPr="00F8475F">
        <w:t xml:space="preserve"> </w:t>
      </w:r>
      <w:r w:rsidR="00467DFF" w:rsidRPr="00F8475F">
        <w:t>(range, diversity, signal propagation, density, etc.)</w:t>
      </w:r>
    </w:p>
    <w:p w14:paraId="48D76263" w14:textId="21E893D4" w:rsidR="00AE6BA9" w:rsidRPr="00F8475F" w:rsidRDefault="00AE6BA9" w:rsidP="004B07A8">
      <w:pPr>
        <w:pStyle w:val="ListParagraph"/>
        <w:numPr>
          <w:ilvl w:val="1"/>
          <w:numId w:val="39"/>
        </w:numPr>
      </w:pPr>
      <w:r w:rsidRPr="00F8475F">
        <w:t>Wearable sensor limits (e.g., weight, battery, storage, analytics, etc.)</w:t>
      </w:r>
    </w:p>
    <w:p w14:paraId="0A3A8FF2" w14:textId="27F7ABEB" w:rsidR="004B07A8" w:rsidRPr="00F8475F" w:rsidRDefault="004B07A8" w:rsidP="004B07A8">
      <w:pPr>
        <w:rPr>
          <w:szCs w:val="22"/>
          <w:highlight w:val="yellow"/>
          <w:lang w:eastAsia="zh-CN"/>
        </w:rPr>
      </w:pPr>
      <w:r w:rsidRPr="00AB3C73">
        <w:rPr>
          <w:szCs w:val="22"/>
        </w:rPr>
        <w:t xml:space="preserve">Threats and technologies to address them </w:t>
      </w:r>
      <w:r w:rsidR="00536480" w:rsidRPr="00F8475F">
        <w:rPr>
          <w:szCs w:val="22"/>
        </w:rPr>
        <w:t xml:space="preserve">are </w:t>
      </w:r>
      <w:r w:rsidRPr="00F8475F">
        <w:rPr>
          <w:szCs w:val="22"/>
        </w:rPr>
        <w:t>changing rapidly. Any incident response is likely to involve a diverse range of sensor resources and a changing array of models that map raw observations to critical responder awareness.</w:t>
      </w:r>
    </w:p>
    <w:p w14:paraId="3A61D192" w14:textId="7DA37F78" w:rsidR="00420D47" w:rsidRPr="00F8475F" w:rsidRDefault="004C5732" w:rsidP="00723FD9">
      <w:pPr>
        <w:spacing w:before="80" w:after="80"/>
        <w:rPr>
          <w:szCs w:val="22"/>
        </w:rPr>
      </w:pPr>
      <w:r w:rsidRPr="00F8475F">
        <w:rPr>
          <w:szCs w:val="22"/>
        </w:rPr>
        <w:t xml:space="preserve">The following </w:t>
      </w:r>
      <w:r w:rsidR="00AC6AB6" w:rsidRPr="00F8475F">
        <w:rPr>
          <w:szCs w:val="22"/>
        </w:rPr>
        <w:t xml:space="preserve">factors should </w:t>
      </w:r>
      <w:r w:rsidR="00DD7263" w:rsidRPr="00F8475F">
        <w:rPr>
          <w:szCs w:val="22"/>
        </w:rPr>
        <w:t>be considered</w:t>
      </w:r>
      <w:r w:rsidRPr="00F8475F">
        <w:rPr>
          <w:szCs w:val="22"/>
        </w:rPr>
        <w:t xml:space="preserve"> </w:t>
      </w:r>
      <w:r w:rsidR="00BC41D6" w:rsidRPr="00F8475F">
        <w:rPr>
          <w:szCs w:val="22"/>
        </w:rPr>
        <w:t xml:space="preserve">in order </w:t>
      </w:r>
      <w:r w:rsidRPr="00F8475F">
        <w:rPr>
          <w:szCs w:val="22"/>
        </w:rPr>
        <w:t xml:space="preserve">to </w:t>
      </w:r>
      <w:r w:rsidR="00DD7263" w:rsidRPr="00F8475F">
        <w:rPr>
          <w:szCs w:val="22"/>
        </w:rPr>
        <w:t>address</w:t>
      </w:r>
      <w:r w:rsidRPr="00F8475F">
        <w:rPr>
          <w:szCs w:val="22"/>
        </w:rPr>
        <w:t xml:space="preserve"> sponsors’ objectives for this initiative</w:t>
      </w:r>
      <w:r w:rsidR="00DD7263" w:rsidRPr="00F8475F">
        <w:rPr>
          <w:szCs w:val="22"/>
        </w:rPr>
        <w:t xml:space="preserve">. Additional factors shown in the subsequent list are not part of this initiative but are provided here for awareness of additonal factors </w:t>
      </w:r>
      <w:r w:rsidR="00AE6BA9" w:rsidRPr="00F8475F">
        <w:rPr>
          <w:szCs w:val="22"/>
        </w:rPr>
        <w:t>that should be identified and documented in the Engineering Report.  This inclusion within the Engineering Report may iclude but not limited to potential factors, barriers or considerations that while not directly under investigation, may/will have impact upon the technology applied, data used</w:t>
      </w:r>
      <w:r w:rsidR="00467DFF" w:rsidRPr="00F8475F">
        <w:rPr>
          <w:szCs w:val="22"/>
        </w:rPr>
        <w:t>,</w:t>
      </w:r>
      <w:r w:rsidR="00AE6BA9" w:rsidRPr="00F8475F">
        <w:rPr>
          <w:szCs w:val="22"/>
        </w:rPr>
        <w:t xml:space="preserve"> and decisions made by both the first responder community and the industry technology provides.  These factors may also be </w:t>
      </w:r>
      <w:r w:rsidR="00DD7263" w:rsidRPr="00F8475F">
        <w:rPr>
          <w:szCs w:val="22"/>
        </w:rPr>
        <w:t xml:space="preserve"> considered</w:t>
      </w:r>
      <w:r w:rsidR="00B63837" w:rsidRPr="00F8475F">
        <w:rPr>
          <w:szCs w:val="22"/>
        </w:rPr>
        <w:t xml:space="preserve"> </w:t>
      </w:r>
      <w:r w:rsidR="00DD7263" w:rsidRPr="00F8475F">
        <w:rPr>
          <w:szCs w:val="22"/>
        </w:rPr>
        <w:t>for potential future tasks</w:t>
      </w:r>
      <w:r w:rsidR="00AE6BA9" w:rsidRPr="00F8475F">
        <w:rPr>
          <w:szCs w:val="22"/>
        </w:rPr>
        <w:t xml:space="preserve"> by the</w:t>
      </w:r>
      <w:r w:rsidR="00467DFF" w:rsidRPr="00F8475F">
        <w:rPr>
          <w:szCs w:val="22"/>
        </w:rPr>
        <w:t xml:space="preserve"> </w:t>
      </w:r>
      <w:r w:rsidR="00AE6BA9" w:rsidRPr="00F8475F">
        <w:rPr>
          <w:szCs w:val="22"/>
        </w:rPr>
        <w:t>Sponsor</w:t>
      </w:r>
      <w:r w:rsidR="00624A41" w:rsidRPr="00F8475F">
        <w:rPr>
          <w:szCs w:val="22"/>
        </w:rPr>
        <w:t>s.</w:t>
      </w:r>
    </w:p>
    <w:p w14:paraId="06D5B83F" w14:textId="55509B5C" w:rsidR="004B07A8" w:rsidRDefault="001A74DD" w:rsidP="004B07A8">
      <w:pPr>
        <w:numPr>
          <w:ilvl w:val="0"/>
          <w:numId w:val="40"/>
        </w:numPr>
      </w:pPr>
      <w:r>
        <w:t>Deployment of f</w:t>
      </w:r>
      <w:r w:rsidR="004B07A8">
        <w:t xml:space="preserve">ixed </w:t>
      </w:r>
      <w:r>
        <w:t>s</w:t>
      </w:r>
      <w:r w:rsidR="004B07A8">
        <w:t>ensors (</w:t>
      </w:r>
      <w:r>
        <w:t>t</w:t>
      </w:r>
      <w:r w:rsidR="004B07A8">
        <w:t xml:space="preserve">raffic, </w:t>
      </w:r>
      <w:r>
        <w:t>w</w:t>
      </w:r>
      <w:r w:rsidR="004B07A8">
        <w:t xml:space="preserve">eather, </w:t>
      </w:r>
      <w:r>
        <w:t>b</w:t>
      </w:r>
      <w:r w:rsidR="004B07A8">
        <w:t>uilding)</w:t>
      </w:r>
    </w:p>
    <w:p w14:paraId="500A0EB8" w14:textId="4E1F3736" w:rsidR="004B07A8" w:rsidRDefault="004B07A8" w:rsidP="004B07A8">
      <w:pPr>
        <w:numPr>
          <w:ilvl w:val="0"/>
          <w:numId w:val="40"/>
        </w:numPr>
      </w:pPr>
      <w:r>
        <w:t>Deploy</w:t>
      </w:r>
      <w:r w:rsidR="001A74DD">
        <w:t>ment of</w:t>
      </w:r>
      <w:r>
        <w:t xml:space="preserve"> </w:t>
      </w:r>
      <w:r w:rsidR="001A74DD">
        <w:t>environmental sensors (air, w</w:t>
      </w:r>
      <w:r>
        <w:t xml:space="preserve">ind, particulate, </w:t>
      </w:r>
      <w:r w:rsidR="001A74DD">
        <w:t>c</w:t>
      </w:r>
      <w:r>
        <w:t>hemical)</w:t>
      </w:r>
    </w:p>
    <w:p w14:paraId="2CE38DC6" w14:textId="045E28EA" w:rsidR="004B07A8" w:rsidRDefault="001A74DD" w:rsidP="004B07A8">
      <w:pPr>
        <w:numPr>
          <w:ilvl w:val="0"/>
          <w:numId w:val="40"/>
        </w:numPr>
      </w:pPr>
      <w:r>
        <w:t>Deployment of m</w:t>
      </w:r>
      <w:r w:rsidR="004B07A8">
        <w:t xml:space="preserve">obile </w:t>
      </w:r>
      <w:r>
        <w:t>s</w:t>
      </w:r>
      <w:r w:rsidR="004B07A8">
        <w:t>ensors (body cameras</w:t>
      </w:r>
      <w:r w:rsidR="00AE6BA9">
        <w:t xml:space="preserve">, wearable biometric </w:t>
      </w:r>
      <w:r>
        <w:t>health sensors</w:t>
      </w:r>
      <w:r w:rsidR="004B07A8">
        <w:t xml:space="preserve">, social media, </w:t>
      </w:r>
      <w:r>
        <w:t>dashboard</w:t>
      </w:r>
      <w:r w:rsidR="004B07A8">
        <w:t xml:space="preserve"> cameras, news camera ground/air</w:t>
      </w:r>
      <w:r w:rsidR="00AE6BA9">
        <w:t>, Unmanned Aerial Systems (UAS), etc.</w:t>
      </w:r>
      <w:r w:rsidR="004B07A8">
        <w:t>)</w:t>
      </w:r>
    </w:p>
    <w:p w14:paraId="30C2B21B" w14:textId="2B545879" w:rsidR="004B07A8" w:rsidRDefault="001A74DD" w:rsidP="004B07A8">
      <w:pPr>
        <w:numPr>
          <w:ilvl w:val="0"/>
          <w:numId w:val="40"/>
        </w:numPr>
      </w:pPr>
      <w:r>
        <w:t>Deployment and management of sensor Internet connectivity</w:t>
      </w:r>
      <w:r w:rsidR="00AE6BA9">
        <w:t xml:space="preserve"> and back</w:t>
      </w:r>
      <w:r w:rsidR="00467DFF">
        <w:t>-</w:t>
      </w:r>
      <w:r w:rsidR="00AE6BA9">
        <w:t>haul</w:t>
      </w:r>
    </w:p>
    <w:p w14:paraId="4712DF07" w14:textId="41505DCE" w:rsidR="004B07A8" w:rsidRDefault="001A74DD" w:rsidP="004B07A8">
      <w:pPr>
        <w:numPr>
          <w:ilvl w:val="0"/>
          <w:numId w:val="40"/>
        </w:numPr>
      </w:pPr>
      <w:r>
        <w:t>Capability for attached / detached local communications</w:t>
      </w:r>
    </w:p>
    <w:p w14:paraId="3A02EB2E" w14:textId="21304F4E" w:rsidR="004B07A8" w:rsidRDefault="004B07A8" w:rsidP="004B07A8">
      <w:pPr>
        <w:numPr>
          <w:ilvl w:val="0"/>
          <w:numId w:val="40"/>
        </w:numPr>
      </w:pPr>
      <w:r>
        <w:t>Geo</w:t>
      </w:r>
      <w:r w:rsidR="001A74DD">
        <w:t>f</w:t>
      </w:r>
      <w:r>
        <w:t>en</w:t>
      </w:r>
      <w:r w:rsidR="001A74DD">
        <w:t>ce alerts</w:t>
      </w:r>
      <w:r>
        <w:t xml:space="preserve"> for proximity of responder to </w:t>
      </w:r>
      <w:r w:rsidR="001A74DD">
        <w:t>actual / imminent hazards</w:t>
      </w:r>
    </w:p>
    <w:p w14:paraId="3AB16B22" w14:textId="501E0CCC" w:rsidR="004B07A8" w:rsidRDefault="001A74DD" w:rsidP="004B07A8">
      <w:pPr>
        <w:numPr>
          <w:ilvl w:val="0"/>
          <w:numId w:val="40"/>
        </w:numPr>
      </w:pPr>
      <w:r>
        <w:t>Triggered refresh</w:t>
      </w:r>
      <w:r w:rsidR="004B07A8">
        <w:t xml:space="preserve"> of </w:t>
      </w:r>
      <w:r>
        <w:t>published</w:t>
      </w:r>
      <w:r w:rsidR="004B07A8">
        <w:t xml:space="preserve"> imagery and sensor </w:t>
      </w:r>
      <w:r>
        <w:t>observations</w:t>
      </w:r>
    </w:p>
    <w:p w14:paraId="4254EA76" w14:textId="0EB616F5" w:rsidR="00B63837" w:rsidRDefault="00B63837" w:rsidP="004B07A8">
      <w:pPr>
        <w:numPr>
          <w:ilvl w:val="0"/>
          <w:numId w:val="40"/>
        </w:numPr>
      </w:pPr>
      <w:r>
        <w:t>Springboard</w:t>
      </w:r>
      <w:r w:rsidR="002A322E" w:rsidRPr="00504F5E">
        <w:rPr>
          <w:rFonts w:ascii="Lucida Grande" w:hAnsi="Lucida Grande" w:cs="Lucida Grande"/>
          <w:b/>
          <w:color w:val="000000"/>
        </w:rPr>
        <w:t>™</w:t>
      </w:r>
      <w:r w:rsidR="002A322E">
        <w:rPr>
          <w:rFonts w:ascii="Lucida Grande" w:hAnsi="Lucida Grande" w:cs="Lucida Grande"/>
          <w:b/>
          <w:color w:val="000000"/>
        </w:rPr>
        <w:t xml:space="preserve"> </w:t>
      </w:r>
      <w:r>
        <w:t>platform standards conformance capability</w:t>
      </w:r>
    </w:p>
    <w:p w14:paraId="1D4A870F" w14:textId="434B8026" w:rsidR="00DD7263" w:rsidRDefault="00D57FE1" w:rsidP="00EB2E3B">
      <w:r>
        <w:t>Two a</w:t>
      </w:r>
      <w:r w:rsidR="00DD7263">
        <w:t xml:space="preserve">dditional factors </w:t>
      </w:r>
      <w:r w:rsidR="00C477F5">
        <w:t xml:space="preserve">provided here </w:t>
      </w:r>
      <w:r w:rsidR="00DD7263">
        <w:t xml:space="preserve">for </w:t>
      </w:r>
      <w:r w:rsidR="00BC41D6">
        <w:t>awareness</w:t>
      </w:r>
      <w:r w:rsidR="00DD7263">
        <w:t xml:space="preserve"> </w:t>
      </w:r>
      <w:r w:rsidR="00C477F5">
        <w:t>of</w:t>
      </w:r>
      <w:r w:rsidR="00DD7263">
        <w:t xml:space="preserve"> potential future </w:t>
      </w:r>
      <w:r w:rsidR="00C477F5">
        <w:t xml:space="preserve">initiative </w:t>
      </w:r>
      <w:r w:rsidR="00DD7263">
        <w:t>tasks:</w:t>
      </w:r>
    </w:p>
    <w:p w14:paraId="290834E8" w14:textId="77777777" w:rsidR="00DD7263" w:rsidRPr="00F8682F" w:rsidRDefault="00DD7263" w:rsidP="00DD7263">
      <w:pPr>
        <w:numPr>
          <w:ilvl w:val="0"/>
          <w:numId w:val="48"/>
        </w:numPr>
        <w:rPr>
          <w:color w:val="000000" w:themeColor="text1"/>
        </w:rPr>
      </w:pPr>
      <w:r w:rsidRPr="00F8682F">
        <w:rPr>
          <w:color w:val="000000" w:themeColor="text1"/>
        </w:rPr>
        <w:t>Information sharing between computer-aided-dispatch systems (CAD-2-CAD)</w:t>
      </w:r>
    </w:p>
    <w:p w14:paraId="3AE25F0E" w14:textId="395861FC" w:rsidR="00DD7263" w:rsidRPr="00F8682F" w:rsidRDefault="00DD7263" w:rsidP="00DD7263">
      <w:pPr>
        <w:numPr>
          <w:ilvl w:val="0"/>
          <w:numId w:val="48"/>
        </w:numPr>
        <w:rPr>
          <w:color w:val="000000" w:themeColor="text1"/>
        </w:rPr>
      </w:pPr>
      <w:r w:rsidRPr="00F8682F">
        <w:rPr>
          <w:color w:val="000000" w:themeColor="text1"/>
        </w:rPr>
        <w:t>Processing</w:t>
      </w:r>
      <w:r w:rsidR="00F8682F">
        <w:rPr>
          <w:color w:val="000000" w:themeColor="text1"/>
        </w:rPr>
        <w:t>,</w:t>
      </w:r>
      <w:r w:rsidR="00AE6BA9">
        <w:rPr>
          <w:color w:val="000000" w:themeColor="text1"/>
        </w:rPr>
        <w:t xml:space="preserve"> extraction</w:t>
      </w:r>
      <w:r w:rsidR="00467DFF">
        <w:rPr>
          <w:color w:val="000000" w:themeColor="text1"/>
        </w:rPr>
        <w:t>,</w:t>
      </w:r>
      <w:r w:rsidR="00AE6BA9">
        <w:rPr>
          <w:color w:val="000000" w:themeColor="text1"/>
        </w:rPr>
        <w:t xml:space="preserve"> and refresh</w:t>
      </w:r>
      <w:r w:rsidRPr="00F8682F">
        <w:rPr>
          <w:color w:val="000000" w:themeColor="text1"/>
        </w:rPr>
        <w:t xml:space="preserve"> of 360 panoramas from multiple 2-D images</w:t>
      </w:r>
      <w:r w:rsidR="00AE6BA9">
        <w:rPr>
          <w:color w:val="000000" w:themeColor="text1"/>
        </w:rPr>
        <w:t>, full motion video</w:t>
      </w:r>
      <w:r w:rsidRPr="00F8682F">
        <w:rPr>
          <w:color w:val="000000" w:themeColor="text1"/>
        </w:rPr>
        <w:t xml:space="preserve"> and ground control points</w:t>
      </w:r>
    </w:p>
    <w:p w14:paraId="5CA547A7" w14:textId="4BBABA7E" w:rsidR="00B66EE9" w:rsidRDefault="00B66EE9" w:rsidP="00EB2E3B">
      <w:pPr>
        <w:pStyle w:val="Heading2"/>
        <w:keepLines/>
        <w:tabs>
          <w:tab w:val="clear" w:pos="576"/>
          <w:tab w:val="clear" w:pos="720"/>
        </w:tabs>
        <w:spacing w:before="200" w:after="0"/>
        <w:jc w:val="left"/>
      </w:pPr>
      <w:bookmarkStart w:id="159" w:name="_Toc291251549"/>
      <w:r>
        <w:t>Deliverable Requirements</w:t>
      </w:r>
      <w:bookmarkEnd w:id="159"/>
    </w:p>
    <w:p w14:paraId="258A3DE9" w14:textId="55915208" w:rsidR="0072256D" w:rsidRDefault="0072256D" w:rsidP="00EB2E3B">
      <w:pPr>
        <w:pStyle w:val="Heading3"/>
      </w:pPr>
      <w:bookmarkStart w:id="160" w:name="_Toc291251550"/>
      <w:r w:rsidRPr="00230096">
        <w:t>Documentation Deliverables</w:t>
      </w:r>
      <w:bookmarkEnd w:id="160"/>
    </w:p>
    <w:p w14:paraId="4375E085" w14:textId="4304EA14" w:rsidR="0072256D" w:rsidRDefault="0072256D" w:rsidP="00EB2E3B">
      <w:pPr>
        <w:pStyle w:val="Heading4"/>
      </w:pPr>
      <w:r>
        <w:t xml:space="preserve">IMIS IoT </w:t>
      </w:r>
      <w:r w:rsidR="00B66EE9">
        <w:t xml:space="preserve">Architecture </w:t>
      </w:r>
      <w:r>
        <w:t>Engineering Report (ER)</w:t>
      </w:r>
    </w:p>
    <w:p w14:paraId="1C333618" w14:textId="67216AE6" w:rsidR="0072256D" w:rsidRPr="00611098" w:rsidRDefault="0072256D">
      <w:r>
        <w:t xml:space="preserve">This Engineering Report shall describe the overall </w:t>
      </w:r>
      <w:r w:rsidR="00B66EE9">
        <w:t xml:space="preserve">architecture </w:t>
      </w:r>
      <w:r>
        <w:t xml:space="preserve">of the </w:t>
      </w:r>
      <w:r w:rsidR="000C0308">
        <w:t>systems developed and deployed during the Pilot, analyze lessons learned,</w:t>
      </w:r>
      <w:r w:rsidR="00B66EE9">
        <w:t xml:space="preserve"> and</w:t>
      </w:r>
      <w:r>
        <w:t xml:space="preserve"> summar</w:t>
      </w:r>
      <w:r w:rsidR="000C0308">
        <w:t>ize</w:t>
      </w:r>
      <w:r>
        <w:t xml:space="preserve"> technical results of the project.</w:t>
      </w:r>
    </w:p>
    <w:p w14:paraId="73AF0025" w14:textId="77777777" w:rsidR="0072256D" w:rsidRDefault="0072256D" w:rsidP="00EB2E3B">
      <w:pPr>
        <w:pStyle w:val="Heading4"/>
      </w:pPr>
      <w:r w:rsidRPr="00AB03CC">
        <w:t>Recommendations for Protocol Mapping IoT devices to SWE Engineering</w:t>
      </w:r>
      <w:r>
        <w:t xml:space="preserve"> Report (ER)</w:t>
      </w:r>
    </w:p>
    <w:p w14:paraId="1BA58BF2" w14:textId="4EA7C672" w:rsidR="0072256D" w:rsidRPr="00E07382" w:rsidRDefault="0072256D">
      <w:r>
        <w:t xml:space="preserve">This Engineering Report shall describe details of </w:t>
      </w:r>
      <w:r w:rsidR="000C0308">
        <w:t xml:space="preserve">solutions for mapping and routing IoT </w:t>
      </w:r>
      <w:r>
        <w:t>protocol</w:t>
      </w:r>
      <w:r w:rsidR="000C0308">
        <w:t xml:space="preserve">s to </w:t>
      </w:r>
      <w:r w:rsidR="005B276D">
        <w:t>Sensor Web Enablement (</w:t>
      </w:r>
      <w:r w:rsidR="000C0308">
        <w:t>SWE</w:t>
      </w:r>
      <w:r w:rsidR="005B276D">
        <w:t>)</w:t>
      </w:r>
      <w:r w:rsidR="000C0308">
        <w:t xml:space="preserve"> interfaces and payloads developed and tested during the Pilot</w:t>
      </w:r>
      <w:r>
        <w:t xml:space="preserve">. </w:t>
      </w:r>
      <w:r w:rsidR="000C0308">
        <w:t xml:space="preserve">A </w:t>
      </w:r>
      <w:r w:rsidR="000C0308">
        <w:lastRenderedPageBreak/>
        <w:t xml:space="preserve">particular focus of the Report shall be </w:t>
      </w:r>
      <w:r w:rsidR="00D03B47">
        <w:t>recommended</w:t>
      </w:r>
      <w:r w:rsidR="000C0308">
        <w:t xml:space="preserve"> </w:t>
      </w:r>
      <w:r w:rsidR="00D03B47">
        <w:t>p</w:t>
      </w:r>
      <w:r w:rsidR="000C0308">
        <w:t>ractices for design of</w:t>
      </w:r>
      <w:r w:rsidR="005637DE">
        <w:t xml:space="preserve"> sensor hubs</w:t>
      </w:r>
      <w:r w:rsidR="000C0308">
        <w:t xml:space="preserve"> </w:t>
      </w:r>
      <w:r w:rsidR="005637DE">
        <w:t>(</w:t>
      </w:r>
      <w:r w:rsidR="000C0308">
        <w:t>S-Hub</w:t>
      </w:r>
      <w:r w:rsidR="005637DE">
        <w:t>)</w:t>
      </w:r>
      <w:r w:rsidR="000C0308">
        <w:t xml:space="preserve"> components that provide a SWE-compatible Internet presence for locally connected IoT devices. </w:t>
      </w:r>
    </w:p>
    <w:p w14:paraId="38F68A2C" w14:textId="77777777" w:rsidR="0072256D" w:rsidRDefault="0072256D" w:rsidP="00EB2E3B">
      <w:pPr>
        <w:pStyle w:val="Heading4"/>
      </w:pPr>
      <w:r>
        <w:t>IMIS Profile Recommendations for OGC Web Services Engineering Report (ER)</w:t>
      </w:r>
    </w:p>
    <w:p w14:paraId="651F89DB" w14:textId="4D323980" w:rsidR="0072256D" w:rsidRPr="00E07382" w:rsidRDefault="0072256D">
      <w:r>
        <w:t>This Engineering Report shall describe recommendations for changes</w:t>
      </w:r>
      <w:r w:rsidR="00D03B47">
        <w:t xml:space="preserve"> to</w:t>
      </w:r>
      <w:r w:rsidR="00D57FE1">
        <w:t xml:space="preserve"> or profiles </w:t>
      </w:r>
      <w:r w:rsidR="00D03B47">
        <w:t>of</w:t>
      </w:r>
      <w:r>
        <w:t xml:space="preserve"> existing standards </w:t>
      </w:r>
      <w:r w:rsidR="00D03B47">
        <w:t>as well as</w:t>
      </w:r>
      <w:r>
        <w:t xml:space="preserve"> other recommended practices </w:t>
      </w:r>
      <w:r w:rsidR="00D03B47">
        <w:t xml:space="preserve">and/or application schemas </w:t>
      </w:r>
      <w:r>
        <w:t xml:space="preserve">developed or realized during the </w:t>
      </w:r>
      <w:r w:rsidR="00D03B47">
        <w:t>Pilot</w:t>
      </w:r>
      <w:r>
        <w:t>.</w:t>
      </w:r>
    </w:p>
    <w:p w14:paraId="05F88887" w14:textId="77777777" w:rsidR="0072256D" w:rsidRDefault="0072256D" w:rsidP="00EB2E3B">
      <w:pPr>
        <w:pStyle w:val="Heading4"/>
      </w:pPr>
      <w:r>
        <w:t>Demonstration Script and Online Content</w:t>
      </w:r>
    </w:p>
    <w:p w14:paraId="2A9A6116" w14:textId="22A5AAAF" w:rsidR="0072256D" w:rsidRPr="00E07382" w:rsidRDefault="0072256D">
      <w:r>
        <w:t xml:space="preserve">This report shall describe the scenario and use cases </w:t>
      </w:r>
      <w:r w:rsidR="009259FF">
        <w:t xml:space="preserve">employed </w:t>
      </w:r>
      <w:r>
        <w:t xml:space="preserve">as a basis for guiding the development of technical solutions during the project. The document will also document the various actors, components (services, </w:t>
      </w:r>
      <w:r w:rsidR="005B276D">
        <w:t xml:space="preserve">data, </w:t>
      </w:r>
      <w:r>
        <w:t xml:space="preserve">clients, devices, gateways, routers, etc.) that are deployed and the interconnection and interaction mechanisms for demonstration purposes. The report </w:t>
      </w:r>
      <w:r w:rsidR="00615B4E">
        <w:t xml:space="preserve">shall </w:t>
      </w:r>
      <w:r>
        <w:t>also identify and document the content produced as outcomes and use</w:t>
      </w:r>
      <w:r w:rsidR="00D57FE1">
        <w:t>d</w:t>
      </w:r>
      <w:r>
        <w:t xml:space="preserve"> in support of the project demonstration.</w:t>
      </w:r>
    </w:p>
    <w:p w14:paraId="7F8B4BC0" w14:textId="2F92718C" w:rsidR="0072256D" w:rsidRDefault="0072256D" w:rsidP="00EB2E3B">
      <w:pPr>
        <w:pStyle w:val="Heading3"/>
      </w:pPr>
      <w:bookmarkStart w:id="161" w:name="_Toc291251551"/>
      <w:r w:rsidRPr="00230096">
        <w:t>IMIS IoT Component Deliverables</w:t>
      </w:r>
      <w:bookmarkEnd w:id="161"/>
    </w:p>
    <w:p w14:paraId="1DE5FEE3" w14:textId="77777777" w:rsidR="0072256D" w:rsidRDefault="0072256D" w:rsidP="00EB2E3B">
      <w:pPr>
        <w:pStyle w:val="Heading4"/>
      </w:pPr>
      <w:r>
        <w:t>Mobile Application</w:t>
      </w:r>
    </w:p>
    <w:p w14:paraId="1B7000F1" w14:textId="3E072EC0" w:rsidR="0072256D" w:rsidRPr="00F964D7" w:rsidRDefault="0072256D">
      <w:r>
        <w:t>The mobile application shall be deployed on a device such as smartphone, tablet or vehicle-installed device for communications, display and collaboration using sensors deployed for this project.</w:t>
      </w:r>
      <w:r w:rsidR="00523A4F">
        <w:t xml:space="preserve"> This mobile application shall demonstrate the capability to discover, connect to and use available sensors</w:t>
      </w:r>
      <w:r w:rsidR="00D977BA">
        <w:t xml:space="preserve"> </w:t>
      </w:r>
      <w:r w:rsidR="00523A4F">
        <w:t xml:space="preserve">to support the incident response. </w:t>
      </w:r>
    </w:p>
    <w:p w14:paraId="32E0D30D" w14:textId="77777777" w:rsidR="0072256D" w:rsidRDefault="0072256D" w:rsidP="00EB2E3B">
      <w:pPr>
        <w:pStyle w:val="Heading4"/>
      </w:pPr>
      <w:r>
        <w:t>Desktop Client</w:t>
      </w:r>
    </w:p>
    <w:p w14:paraId="760D67B8" w14:textId="1392A7AF" w:rsidR="0072256D" w:rsidRPr="00C874AC" w:rsidRDefault="0072256D">
      <w:r>
        <w:t>The desktop client shall provide the capability to integrate and process, update, display</w:t>
      </w:r>
      <w:r w:rsidR="005B276D">
        <w:t xml:space="preserve"> data and integrated </w:t>
      </w:r>
      <w:r>
        <w:t xml:space="preserve"> information about the incident response including sensor information from any or all of the sensors being deployed in this project.</w:t>
      </w:r>
    </w:p>
    <w:p w14:paraId="7B51016A" w14:textId="4C9E795D" w:rsidR="0072256D" w:rsidRDefault="0072256D" w:rsidP="00EB2E3B">
      <w:pPr>
        <w:pStyle w:val="Heading4"/>
      </w:pPr>
      <w:r>
        <w:t>Web Map Service (WMS) serving basemap and IoT Feature Layers</w:t>
      </w:r>
    </w:p>
    <w:p w14:paraId="62F0FAF0" w14:textId="5A157062" w:rsidR="00464611" w:rsidRPr="00AB03CC" w:rsidRDefault="00D977BA" w:rsidP="00EB2E3B">
      <w:r>
        <w:t>The WMS shall be deployed to provide applicable basemap data for the incident response area along with IoT features as a layer.</w:t>
      </w:r>
      <w:r w:rsidR="00195DAC">
        <w:t xml:space="preserve"> The WMS component will function </w:t>
      </w:r>
      <w:r w:rsidR="002A53FC">
        <w:t xml:space="preserve">both </w:t>
      </w:r>
      <w:r w:rsidR="00195DAC">
        <w:t>as an integral map server and as a Feature Portrayal Server (FPS) to render map images from remote WFS</w:t>
      </w:r>
      <w:r w:rsidR="009259FF">
        <w:t xml:space="preserve"> (Web Feature Service)</w:t>
      </w:r>
      <w:r w:rsidR="00195DAC">
        <w:t xml:space="preserve"> feature collections</w:t>
      </w:r>
      <w:r w:rsidR="002A53FC">
        <w:t xml:space="preserve"> and SOS observations</w:t>
      </w:r>
      <w:r w:rsidR="00195DAC">
        <w:t>.</w:t>
      </w:r>
    </w:p>
    <w:p w14:paraId="6DB03E36" w14:textId="77777777" w:rsidR="0072256D" w:rsidRDefault="0072256D" w:rsidP="00EB2E3B">
      <w:pPr>
        <w:pStyle w:val="Heading4"/>
      </w:pPr>
      <w:r>
        <w:t>Web Feature Service (WFS)</w:t>
      </w:r>
    </w:p>
    <w:p w14:paraId="51D7B9CE" w14:textId="4DABD2E1" w:rsidR="00464611" w:rsidRPr="00AB03CC" w:rsidRDefault="00195DAC" w:rsidP="00EB2E3B">
      <w:r>
        <w:t>The WFS shall be deployed to provide interaction with relevant feature data collections including framework and infrastructure features, incident response resource and workflow features, as well as features of interest for sensor observations such as incident areas.</w:t>
      </w:r>
    </w:p>
    <w:p w14:paraId="1D4F7D74" w14:textId="53C5CFBD" w:rsidR="0072256D" w:rsidRDefault="0072256D" w:rsidP="00EB2E3B">
      <w:pPr>
        <w:pStyle w:val="Heading4"/>
      </w:pPr>
      <w:r>
        <w:t xml:space="preserve">Sensor Observation Service (SOS) for </w:t>
      </w:r>
      <w:r w:rsidR="002A53FC">
        <w:t>Fixed and</w:t>
      </w:r>
      <w:r>
        <w:t xml:space="preserve"> Mobile</w:t>
      </w:r>
      <w:r w:rsidR="002A53FC">
        <w:t xml:space="preserve"> Imagery Sensors</w:t>
      </w:r>
    </w:p>
    <w:p w14:paraId="5BFFEDE6" w14:textId="66BF62DE" w:rsidR="00464611" w:rsidRPr="00AB03CC" w:rsidRDefault="0066340E" w:rsidP="00EB2E3B">
      <w:r>
        <w:t xml:space="preserve">The SOS shall be deployed to provide </w:t>
      </w:r>
      <w:r w:rsidR="002A53FC">
        <w:t>discovery of and access to current and historical imagery observations from fixed and mobile sensors that are indexed by location and time, as well as by features of interest.</w:t>
      </w:r>
    </w:p>
    <w:p w14:paraId="0D8C8AE8" w14:textId="6E78A573" w:rsidR="0072256D" w:rsidRDefault="0072256D" w:rsidP="00EB2E3B">
      <w:pPr>
        <w:pStyle w:val="Heading4"/>
      </w:pPr>
      <w:r>
        <w:t xml:space="preserve">Sensor </w:t>
      </w:r>
      <w:r w:rsidR="0066340E">
        <w:t xml:space="preserve">Things API </w:t>
      </w:r>
      <w:r>
        <w:t>(S</w:t>
      </w:r>
      <w:r w:rsidR="0066340E">
        <w:t>TA</w:t>
      </w:r>
      <w:r>
        <w:t xml:space="preserve">) for Wearable </w:t>
      </w:r>
      <w:r w:rsidR="002A53FC">
        <w:t xml:space="preserve">and In Situ </w:t>
      </w:r>
      <w:r>
        <w:t>Sensors</w:t>
      </w:r>
    </w:p>
    <w:p w14:paraId="04567723" w14:textId="7F7BACF7" w:rsidR="00464611" w:rsidRPr="00AB03CC" w:rsidRDefault="002A53FC" w:rsidP="00EB2E3B">
      <w:r>
        <w:t>The Sensor Things API shall be deployed as a stand-alone component as well as an interface to other components as a means to provide simple RESTful access to observations particularly from wearable and in situ environmental sensors.</w:t>
      </w:r>
    </w:p>
    <w:p w14:paraId="63B9AFDC" w14:textId="77777777" w:rsidR="0072256D" w:rsidRDefault="0072256D" w:rsidP="00EB2E3B">
      <w:pPr>
        <w:pStyle w:val="Heading4"/>
      </w:pPr>
      <w:r>
        <w:t>Catalog (HubCat registry)</w:t>
      </w:r>
    </w:p>
    <w:p w14:paraId="04252062" w14:textId="5BA0A885" w:rsidR="00464611" w:rsidRPr="00AB03CC" w:rsidRDefault="002A53FC" w:rsidP="00EB2E3B">
      <w:r>
        <w:t>The HubCat catalog shall be deployed to register</w:t>
      </w:r>
      <w:r w:rsidR="002B327A">
        <w:t xml:space="preserve"> automatically</w:t>
      </w:r>
      <w:r>
        <w:t xml:space="preserve"> and provide a </w:t>
      </w:r>
      <w:r w:rsidR="002B327A">
        <w:t>well-known facility</w:t>
      </w:r>
      <w:r>
        <w:t xml:space="preserve"> for discovering other IoT components in the Pilot</w:t>
      </w:r>
      <w:r w:rsidR="002B327A">
        <w:t>, particularly S-Hubs.</w:t>
      </w:r>
      <w:r>
        <w:t xml:space="preserve"> </w:t>
      </w:r>
    </w:p>
    <w:p w14:paraId="659C72FF" w14:textId="77777777" w:rsidR="0072256D" w:rsidRDefault="0072256D" w:rsidP="00EB2E3B">
      <w:pPr>
        <w:pStyle w:val="Heading4"/>
      </w:pPr>
      <w:r>
        <w:lastRenderedPageBreak/>
        <w:t>Web Processing Service (WPS) for sensor data analysis and model data processing</w:t>
      </w:r>
    </w:p>
    <w:p w14:paraId="468908D0" w14:textId="43B786FB" w:rsidR="00C477F5" w:rsidRPr="00AB03CC" w:rsidRDefault="002B327A" w:rsidP="00EB2E3B">
      <w:r>
        <w:t>The WPS shall be deployed to provide information products derived from analysis and modeling of sensor data to support incident response planning and decision-making.</w:t>
      </w:r>
    </w:p>
    <w:p w14:paraId="3DF485F1" w14:textId="77777777" w:rsidR="0072256D" w:rsidRDefault="0072256D" w:rsidP="00EB2E3B">
      <w:pPr>
        <w:pStyle w:val="Heading4"/>
      </w:pPr>
      <w:r>
        <w:t>Sensor Planning Service (SPS) for tasking remote sensors</w:t>
      </w:r>
    </w:p>
    <w:p w14:paraId="1223E84F" w14:textId="72C21848" w:rsidR="00C477F5" w:rsidRPr="00AB03CC" w:rsidRDefault="002B327A" w:rsidP="00EB2E3B">
      <w:r>
        <w:t>The SPS shall be deployed to provide a capability for tasking remote sensors, particularly the trajectories and coverage of mobile imagery sensors.</w:t>
      </w:r>
    </w:p>
    <w:p w14:paraId="68C33834" w14:textId="77777777" w:rsidR="0072256D" w:rsidRDefault="0072256D" w:rsidP="00EB2E3B">
      <w:pPr>
        <w:pStyle w:val="Heading4"/>
      </w:pPr>
      <w:r>
        <w:t>Web Notification Service (WNS)</w:t>
      </w:r>
    </w:p>
    <w:p w14:paraId="2690938E" w14:textId="54C68391" w:rsidR="002E270C" w:rsidRPr="00573F0C" w:rsidRDefault="002B327A" w:rsidP="00EB2E3B">
      <w:r>
        <w:t>The WNS shall be deployed to provide a means of channeling alerts and notifications from other Pilot services to incident personnel and the public. This component may conform to the OGC WNS specification or provide another feasible standards-based means of communicating service alerts.</w:t>
      </w:r>
    </w:p>
    <w:p w14:paraId="3D2098BE" w14:textId="47362EED" w:rsidR="002E270C" w:rsidRDefault="002E270C" w:rsidP="002E270C">
      <w:pPr>
        <w:pStyle w:val="Heading4"/>
      </w:pPr>
      <w:r>
        <w:t>Sensor Alert Service (SAS)</w:t>
      </w:r>
    </w:p>
    <w:p w14:paraId="66FC39BE" w14:textId="0DE90CB7" w:rsidR="002E270C" w:rsidRPr="00573F0C" w:rsidRDefault="002B327A" w:rsidP="00EB2E3B">
      <w:r>
        <w:t>The SAS shall be deployed to provide a means for incident personnel to subscribe to specific published sensor and service events so that notifications can be generated from those events. This component may conform to the OGC SAS specification or provide another feasible standards-based means of supporting publication of and subscription to sensor and service alerts.</w:t>
      </w:r>
    </w:p>
    <w:p w14:paraId="04B320C1" w14:textId="48835D18" w:rsidR="002E270C" w:rsidRDefault="002E270C" w:rsidP="002E270C">
      <w:pPr>
        <w:pStyle w:val="Heading4"/>
      </w:pPr>
      <w:r w:rsidRPr="00625F84">
        <w:t>IoT Hub for Protocol Mapping/Adapter (</w:t>
      </w:r>
      <w:r w:rsidR="002B327A">
        <w:t xml:space="preserve">3 </w:t>
      </w:r>
      <w:r w:rsidRPr="00625F84">
        <w:t>S-Hub</w:t>
      </w:r>
      <w:r w:rsidR="002B327A">
        <w:t>s</w:t>
      </w:r>
      <w:r w:rsidRPr="00625F84">
        <w:t>)</w:t>
      </w:r>
    </w:p>
    <w:p w14:paraId="430F6D50" w14:textId="5051AA45" w:rsidR="002E270C" w:rsidRPr="00573F0C" w:rsidRDefault="002B327A" w:rsidP="00EB2E3B">
      <w:r>
        <w:t>The S-Hubs shall be deployed as the Internet-connected gateways and caching as needed between local IoT / sensor device protocols (that are not necessarily IP-based) and IoT / WoT interfaces providing global access to device characteristics and outputs.</w:t>
      </w:r>
    </w:p>
    <w:p w14:paraId="45B4C5A7" w14:textId="45FFD8B0" w:rsidR="002E270C" w:rsidRDefault="002E270C" w:rsidP="002E270C">
      <w:pPr>
        <w:pStyle w:val="Heading4"/>
      </w:pPr>
      <w:r>
        <w:t>Service Interface for IoT Device</w:t>
      </w:r>
      <w:r w:rsidR="00FD1616">
        <w:t>s</w:t>
      </w:r>
      <w:r>
        <w:t xml:space="preserve"> (</w:t>
      </w:r>
      <w:r w:rsidR="00FD1616">
        <w:t xml:space="preserve">7 </w:t>
      </w:r>
      <w:r>
        <w:t>Thing</w:t>
      </w:r>
      <w:r w:rsidR="00FD1616">
        <w:t>s</w:t>
      </w:r>
      <w:r>
        <w:t>)</w:t>
      </w:r>
    </w:p>
    <w:p w14:paraId="0328B899" w14:textId="33E65743" w:rsidR="00FD1616" w:rsidRPr="00573F0C" w:rsidRDefault="00FD1616" w:rsidP="00EB2E3B">
      <w:r>
        <w:t xml:space="preserve">Each IoT sensor device deployed during the Pilot shall provide a service interface that interacts with one or more S-Hubs and supports automated discovery, as well as access to sensor characteristics, settings such as </w:t>
      </w:r>
      <w:r w:rsidR="00DE55E7">
        <w:t xml:space="preserve">drone </w:t>
      </w:r>
      <w:r>
        <w:t>flight patterns and alert thresholds, and observations that are automatically or manually triggered.</w:t>
      </w:r>
    </w:p>
    <w:p w14:paraId="0693E2E3" w14:textId="77777777" w:rsidR="00C477F5" w:rsidRPr="00AB03CC" w:rsidRDefault="00C477F5" w:rsidP="00EB2E3B"/>
    <w:p w14:paraId="661C7369" w14:textId="77777777" w:rsidR="0072256D" w:rsidRPr="0072256D" w:rsidRDefault="0072256D" w:rsidP="00EB2E3B"/>
    <w:p w14:paraId="17C7DF59" w14:textId="36F39CF4" w:rsidR="00C414E5" w:rsidRDefault="00C414E5" w:rsidP="00540A2E">
      <w:pPr>
        <w:pStyle w:val="Heading1"/>
        <w:keepNext/>
        <w:pageBreakBefore/>
      </w:pPr>
      <w:bookmarkStart w:id="162" w:name="_Toc291251552"/>
      <w:r>
        <w:lastRenderedPageBreak/>
        <w:t>Enterprise Viewpoint</w:t>
      </w:r>
      <w:bookmarkEnd w:id="106"/>
      <w:bookmarkEnd w:id="107"/>
      <w:r w:rsidR="00F333AC">
        <w:t xml:space="preserve">: </w:t>
      </w:r>
      <w:r w:rsidR="008A45CB">
        <w:t>Context</w:t>
      </w:r>
      <w:r w:rsidR="00257545">
        <w:t>, Scenario,</w:t>
      </w:r>
      <w:r w:rsidR="008A45CB">
        <w:t xml:space="preserve"> and </w:t>
      </w:r>
      <w:r w:rsidR="00F333AC">
        <w:t>Use Cases</w:t>
      </w:r>
      <w:bookmarkEnd w:id="162"/>
    </w:p>
    <w:p w14:paraId="69D025D5" w14:textId="77777777" w:rsidR="00F333AC" w:rsidRDefault="008A45CB" w:rsidP="00872AD5">
      <w:pPr>
        <w:pStyle w:val="Heading2"/>
      </w:pPr>
      <w:bookmarkStart w:id="163" w:name="_Toc291251553"/>
      <w:r>
        <w:t>Context</w:t>
      </w:r>
      <w:r w:rsidR="00F333AC">
        <w:t xml:space="preserve"> of </w:t>
      </w:r>
      <w:r w:rsidR="00EF340B">
        <w:t>IMIS IoT</w:t>
      </w:r>
      <w:bookmarkEnd w:id="163"/>
    </w:p>
    <w:p w14:paraId="714D78C8" w14:textId="77777777" w:rsidR="009E085F" w:rsidRDefault="009E085F" w:rsidP="009E085F">
      <w:pPr>
        <w:pStyle w:val="BodyText"/>
      </w:pPr>
      <w:r>
        <w:t>Incident</w:t>
      </w:r>
      <w:r w:rsidRPr="00414591">
        <w:t xml:space="preserve"> responders move within </w:t>
      </w:r>
      <w:r>
        <w:t>a</w:t>
      </w:r>
      <w:r w:rsidRPr="00414591">
        <w:t xml:space="preserve"> field of operation. The goal is to </w:t>
      </w:r>
      <w:r>
        <w:t>characterize</w:t>
      </w:r>
      <w:r w:rsidRPr="00414591">
        <w:t xml:space="preserve"> the environment</w:t>
      </w:r>
      <w:r>
        <w:t xml:space="preserve"> of the field</w:t>
      </w:r>
      <w:r w:rsidRPr="00414591">
        <w:t xml:space="preserve"> as efficiently and safely as possible. For this reason, </w:t>
      </w:r>
      <w:r>
        <w:t>response</w:t>
      </w:r>
      <w:r w:rsidRPr="00414591">
        <w:t xml:space="preserve"> teams make use of modern sensing and communication</w:t>
      </w:r>
      <w:r>
        <w:t>s</w:t>
      </w:r>
      <w:r w:rsidRPr="00414591">
        <w:t xml:space="preserve"> technology to achieve two </w:t>
      </w:r>
      <w:r>
        <w:t>domains of awareness</w:t>
      </w:r>
      <w:r w:rsidRPr="00414591">
        <w:t>:</w:t>
      </w:r>
    </w:p>
    <w:p w14:paraId="441F853F" w14:textId="77777777" w:rsidR="009E085F" w:rsidRDefault="009E085F" w:rsidP="009E085F">
      <w:pPr>
        <w:pStyle w:val="BodyText"/>
        <w:widowControl/>
        <w:numPr>
          <w:ilvl w:val="0"/>
          <w:numId w:val="41"/>
        </w:numPr>
        <w:spacing w:before="0" w:after="0" w:line="276" w:lineRule="auto"/>
        <w:jc w:val="both"/>
      </w:pPr>
      <w:r>
        <w:t xml:space="preserve">The situation in the field of operation and vicinity </w:t>
      </w:r>
    </w:p>
    <w:p w14:paraId="08478DA5" w14:textId="77777777" w:rsidR="009E085F" w:rsidRDefault="009E085F" w:rsidP="009E085F">
      <w:pPr>
        <w:pStyle w:val="BodyText"/>
        <w:widowControl/>
        <w:numPr>
          <w:ilvl w:val="0"/>
          <w:numId w:val="41"/>
        </w:numPr>
        <w:spacing w:before="0" w:after="0" w:line="276" w:lineRule="auto"/>
        <w:jc w:val="both"/>
      </w:pPr>
      <w:r>
        <w:t>T</w:t>
      </w:r>
      <w:r w:rsidRPr="00414591">
        <w:t>he status of each response team member</w:t>
      </w:r>
      <w:r>
        <w:t xml:space="preserve"> and response resource</w:t>
      </w:r>
      <w:r w:rsidRPr="00414591">
        <w:t xml:space="preserve">. </w:t>
      </w:r>
    </w:p>
    <w:p w14:paraId="3944CB96" w14:textId="185CA0C6" w:rsidR="009E085F" w:rsidRDefault="009E085F" w:rsidP="009E085F">
      <w:pPr>
        <w:pStyle w:val="BodyText"/>
        <w:ind w:left="54"/>
      </w:pPr>
      <w:r>
        <w:t>S</w:t>
      </w:r>
      <w:r w:rsidRPr="00414591">
        <w:t>ensors</w:t>
      </w:r>
      <w:r>
        <w:t xml:space="preserve"> used for incident response may be deployed for use or</w:t>
      </w:r>
      <w:r w:rsidRPr="00414591">
        <w:t xml:space="preserve"> carried by response team member</w:t>
      </w:r>
      <w:r>
        <w:t>s</w:t>
      </w:r>
      <w:r w:rsidRPr="00414591">
        <w:t xml:space="preserve">. Deployed sensors can either be fixed or mobile, e.g. </w:t>
      </w:r>
      <w:r>
        <w:t>carried by</w:t>
      </w:r>
      <w:r w:rsidRPr="00414591">
        <w:t xml:space="preserve"> </w:t>
      </w:r>
      <w:r w:rsidR="00CF59DE">
        <w:t xml:space="preserve">individual responders, </w:t>
      </w:r>
      <w:r w:rsidRPr="00414591">
        <w:t>autonomous vehicles</w:t>
      </w:r>
      <w:r w:rsidR="00793D74">
        <w:t>,</w:t>
      </w:r>
      <w:r w:rsidRPr="00414591">
        <w:t xml:space="preserve"> or drones. Fixed sensors remain at </w:t>
      </w:r>
      <w:r>
        <w:t>a</w:t>
      </w:r>
      <w:r w:rsidRPr="00414591">
        <w:t xml:space="preserve"> deployment location, but </w:t>
      </w:r>
      <w:r>
        <w:t>might have the capability to</w:t>
      </w:r>
      <w:r w:rsidRPr="00414591">
        <w:t xml:space="preserve"> </w:t>
      </w:r>
      <w:r w:rsidR="00793D74">
        <w:t xml:space="preserve">be </w:t>
      </w:r>
      <w:r w:rsidRPr="00414591">
        <w:t>quickly relocated</w:t>
      </w:r>
      <w:r>
        <w:t xml:space="preserve"> and re-integrated</w:t>
      </w:r>
      <w:r w:rsidRPr="00414591">
        <w:t xml:space="preserve"> if necessary. </w:t>
      </w:r>
      <w:r>
        <w:t>Sensor platforms</w:t>
      </w:r>
      <w:r w:rsidRPr="00414591">
        <w:t xml:space="preserve"> </w:t>
      </w:r>
      <w:r>
        <w:t>include communications functionality</w:t>
      </w:r>
      <w:r w:rsidR="003237AE">
        <w:t>;</w:t>
      </w:r>
      <w:r>
        <w:t xml:space="preserve"> </w:t>
      </w:r>
      <w:r w:rsidR="003237AE">
        <w:t xml:space="preserve">they </w:t>
      </w:r>
      <w:r>
        <w:t>may</w:t>
      </w:r>
      <w:r w:rsidRPr="00414591">
        <w:t xml:space="preserve"> provide relay and data collection functionality </w:t>
      </w:r>
      <w:r>
        <w:t>as</w:t>
      </w:r>
      <w:r w:rsidRPr="00414591">
        <w:t xml:space="preserve"> </w:t>
      </w:r>
      <w:r>
        <w:t>well</w:t>
      </w:r>
      <w:r w:rsidRPr="00414591">
        <w:t xml:space="preserve">. </w:t>
      </w:r>
      <w:r>
        <w:t xml:space="preserve">Wearable sensors may provide environmental information but primarily monitor the </w:t>
      </w:r>
      <w:r w:rsidR="00CF59DE">
        <w:t xml:space="preserve">biometric conditions </w:t>
      </w:r>
      <w:r>
        <w:t xml:space="preserve">of each </w:t>
      </w:r>
      <w:r w:rsidRPr="00414591">
        <w:t>team member</w:t>
      </w:r>
      <w:r>
        <w:t>.</w:t>
      </w:r>
    </w:p>
    <w:p w14:paraId="177FB01E" w14:textId="1369CA79" w:rsidR="009E085F" w:rsidRDefault="009E085F" w:rsidP="009E085F">
      <w:pPr>
        <w:pStyle w:val="BodyText"/>
        <w:ind w:left="54"/>
      </w:pPr>
      <w:r>
        <w:t xml:space="preserve">Sensor observations enhance the </w:t>
      </w:r>
      <w:r w:rsidR="00793D74">
        <w:t xml:space="preserve">awareness </w:t>
      </w:r>
      <w:r>
        <w:t>of responders in cases where the scope of an incident is increasing and/or migrating. This poses the challenge of detecting those changes and then</w:t>
      </w:r>
      <w:r w:rsidR="00CF59DE">
        <w:t xml:space="preserve"> effectively</w:t>
      </w:r>
      <w:r>
        <w:t xml:space="preserve"> </w:t>
      </w:r>
      <w:r w:rsidR="00CF59DE">
        <w:t>re-</w:t>
      </w:r>
      <w:r>
        <w:t xml:space="preserve">deploying </w:t>
      </w:r>
      <w:r w:rsidR="00CF59DE">
        <w:t xml:space="preserve">or moving </w:t>
      </w:r>
      <w:r>
        <w:t xml:space="preserve">existing </w:t>
      </w:r>
      <w:r w:rsidR="00CF59DE">
        <w:t xml:space="preserve">responders and </w:t>
      </w:r>
      <w:r w:rsidR="00793D74">
        <w:t xml:space="preserve">then </w:t>
      </w:r>
      <w:r w:rsidR="00CF59DE">
        <w:t>augmenting</w:t>
      </w:r>
      <w:r w:rsidR="00793D74">
        <w:t xml:space="preserve"> the assignment</w:t>
      </w:r>
      <w:r w:rsidR="00CF59DE">
        <w:t xml:space="preserve"> when additional responders across first responder domains (e.g. Fire, Law Enforcement, Emergency Management and Emergency Medical) arrive on scene.</w:t>
      </w:r>
      <w:r>
        <w:t xml:space="preserve"> Deployed s</w:t>
      </w:r>
      <w:r w:rsidRPr="00BD5DE6">
        <w:t xml:space="preserve">ensors are rarely of the same type and generation and </w:t>
      </w:r>
      <w:r>
        <w:t xml:space="preserve">likely </w:t>
      </w:r>
      <w:r w:rsidRPr="00BD5DE6">
        <w:t xml:space="preserve">differ in underlying technology. </w:t>
      </w:r>
      <w:r>
        <w:t xml:space="preserve">Even individual </w:t>
      </w:r>
      <w:r w:rsidRPr="00BD5DE6">
        <w:t xml:space="preserve">response teams </w:t>
      </w:r>
      <w:r>
        <w:t xml:space="preserve">may be </w:t>
      </w:r>
      <w:r w:rsidRPr="00BD5DE6">
        <w:t>deploy</w:t>
      </w:r>
      <w:r>
        <w:t>ing</w:t>
      </w:r>
      <w:r w:rsidRPr="00BD5DE6">
        <w:t xml:space="preserve"> heterogeneous </w:t>
      </w:r>
      <w:r>
        <w:t>sensor collections as new technologies are added from year to year</w:t>
      </w:r>
      <w:r w:rsidRPr="00BD5DE6">
        <w:t xml:space="preserve">. All </w:t>
      </w:r>
      <w:r>
        <w:t xml:space="preserve">such </w:t>
      </w:r>
      <w:r w:rsidRPr="00BD5DE6">
        <w:t xml:space="preserve">sensors need to be discoverable </w:t>
      </w:r>
      <w:r>
        <w:t xml:space="preserve">by any participating responder </w:t>
      </w:r>
      <w:r w:rsidRPr="00BD5DE6">
        <w:t xml:space="preserve">at </w:t>
      </w:r>
      <w:r>
        <w:t>deployment</w:t>
      </w:r>
      <w:r w:rsidRPr="00BD5DE6">
        <w:t xml:space="preserve">. In addition, all sensors </w:t>
      </w:r>
      <w:r>
        <w:t>must</w:t>
      </w:r>
      <w:r w:rsidRPr="00BD5DE6">
        <w:t xml:space="preserve"> transmit data successfully </w:t>
      </w:r>
      <w:r>
        <w:t xml:space="preserve">through </w:t>
      </w:r>
      <w:r w:rsidRPr="00BD5DE6">
        <w:t xml:space="preserve">available relay stations and communication devices </w:t>
      </w:r>
      <w:r>
        <w:t>in</w:t>
      </w:r>
      <w:r w:rsidRPr="00BD5DE6">
        <w:t xml:space="preserve">to </w:t>
      </w:r>
      <w:r>
        <w:t>operating response information networks</w:t>
      </w:r>
      <w:r w:rsidRPr="00BD5DE6">
        <w:t xml:space="preserve">. </w:t>
      </w:r>
      <w:r>
        <w:t>They utilize standards-based IoT protocols for rapid, nearly automatic integration into response information systems. For example,</w:t>
      </w:r>
      <w:r w:rsidRPr="00BD5DE6">
        <w:t xml:space="preserve"> </w:t>
      </w:r>
      <w:r w:rsidRPr="00EB2E3B">
        <w:rPr>
          <w:bCs/>
          <w:u w:val="single"/>
        </w:rPr>
        <w:t>an IMIS profile of SWE SensorML</w:t>
      </w:r>
      <w:r w:rsidRPr="00D8490A">
        <w:t>,</w:t>
      </w:r>
      <w:r w:rsidRPr="00BD5DE6">
        <w:t xml:space="preserve"> </w:t>
      </w:r>
      <w:r>
        <w:t>used to</w:t>
      </w:r>
      <w:r w:rsidRPr="00BD5DE6">
        <w:t xml:space="preserve"> </w:t>
      </w:r>
      <w:r>
        <w:t xml:space="preserve">describe sensor characteristics, </w:t>
      </w:r>
      <w:r w:rsidR="00191784">
        <w:t xml:space="preserve">may </w:t>
      </w:r>
      <w:r>
        <w:t>provide the metadata necessary to facilitate this plug-and-play operation</w:t>
      </w:r>
      <w:r w:rsidRPr="00BD5DE6">
        <w:t xml:space="preserve">. </w:t>
      </w:r>
    </w:p>
    <w:p w14:paraId="2C37BCA9" w14:textId="13AA6EFD" w:rsidR="009E085F" w:rsidRPr="009E085F" w:rsidRDefault="009E085F" w:rsidP="009E085F">
      <w:r>
        <w:t xml:space="preserve">The resulting sensor cloud </w:t>
      </w:r>
      <w:r w:rsidRPr="00414591">
        <w:t>create</w:t>
      </w:r>
      <w:r>
        <w:t>s</w:t>
      </w:r>
      <w:r w:rsidRPr="00414591">
        <w:t xml:space="preserve"> huge amounts of </w:t>
      </w:r>
      <w:r>
        <w:t xml:space="preserve">observation </w:t>
      </w:r>
      <w:r w:rsidRPr="00414591">
        <w:t>data</w:t>
      </w:r>
      <w:r>
        <w:t xml:space="preserve"> that can be impractical and distracting for responders</w:t>
      </w:r>
      <w:r w:rsidRPr="00414591">
        <w:t xml:space="preserve">. </w:t>
      </w:r>
      <w:r>
        <w:t xml:space="preserve">Sensor Web Enablement based components such as collection and processing services are utilized to analyze and model the data in real time, reducing the overload </w:t>
      </w:r>
      <w:r w:rsidR="00793D74">
        <w:t xml:space="preserve">so that </w:t>
      </w:r>
      <w:r>
        <w:t xml:space="preserve">only essential and actionable information, that is information that answers specific questions important to incident responders with well understood reliability and uncertainty characteristics. </w:t>
      </w:r>
      <w:r w:rsidRPr="00954BFA">
        <w:t>Data mining algorithms</w:t>
      </w:r>
      <w:r>
        <w:t xml:space="preserve"> used to develop such models</w:t>
      </w:r>
      <w:r w:rsidRPr="00954BFA">
        <w:t xml:space="preserve"> often depend on particular characteristics of the incoming data. If sensors used for training the algorithm differ from those used at deployment, results may </w:t>
      </w:r>
      <w:r>
        <w:t xml:space="preserve">be unreliable. Sensor </w:t>
      </w:r>
      <w:r w:rsidRPr="00954BFA">
        <w:t xml:space="preserve">discovery protocols and descriptions </w:t>
      </w:r>
      <w:r>
        <w:t>are the means to</w:t>
      </w:r>
      <w:r w:rsidRPr="00954BFA">
        <w:t xml:space="preserve"> ensure </w:t>
      </w:r>
      <w:r>
        <w:t>consistency between incoming data and actionable alerts and predictions</w:t>
      </w:r>
      <w:r w:rsidRPr="00954BFA">
        <w:t xml:space="preserve">. </w:t>
      </w:r>
      <w:r w:rsidRPr="00954BFA">
        <w:rPr>
          <w:b/>
          <w:bCs/>
          <w:u w:val="single"/>
        </w:rPr>
        <w:t>Protocol mappings</w:t>
      </w:r>
      <w:r w:rsidRPr="00954BFA">
        <w:t xml:space="preserve"> </w:t>
      </w:r>
      <w:r>
        <w:t>between SWE standards and IoT communications protocols</w:t>
      </w:r>
      <w:r w:rsidRPr="00954BFA">
        <w:t xml:space="preserve"> ensure communication of all necessary information </w:t>
      </w:r>
      <w:r>
        <w:t>between</w:t>
      </w:r>
      <w:r w:rsidRPr="00954BFA">
        <w:t xml:space="preserve"> sensor</w:t>
      </w:r>
      <w:r>
        <w:t>s</w:t>
      </w:r>
      <w:r w:rsidRPr="00954BFA">
        <w:t xml:space="preserve"> </w:t>
      </w:r>
      <w:r>
        <w:t>and decision support tools</w:t>
      </w:r>
      <w:r w:rsidRPr="00954BFA">
        <w:t>. </w:t>
      </w:r>
      <w:r>
        <w:t>IMIS-specific profiles of the Observations and Measurements (O&amp;M) standard provide for successful exchange of raw and derived observations between responder information systems.</w:t>
      </w:r>
    </w:p>
    <w:p w14:paraId="7CF295E1" w14:textId="77777777" w:rsidR="00540A2E" w:rsidRDefault="00540A2E" w:rsidP="00716B5D">
      <w:pPr>
        <w:pStyle w:val="Heading2"/>
      </w:pPr>
      <w:bookmarkStart w:id="164" w:name="_Toc221621636"/>
      <w:bookmarkStart w:id="165" w:name="_Ref287689168"/>
      <w:bookmarkStart w:id="166" w:name="_Toc291251554"/>
      <w:r>
        <w:t>Operational Context</w:t>
      </w:r>
      <w:bookmarkEnd w:id="164"/>
      <w:bookmarkEnd w:id="165"/>
      <w:bookmarkEnd w:id="166"/>
    </w:p>
    <w:p w14:paraId="6CE762ED" w14:textId="1F932189" w:rsidR="009E085F" w:rsidRPr="009E085F" w:rsidRDefault="009E085F" w:rsidP="00716B5D">
      <w:pPr>
        <w:pStyle w:val="Heading3"/>
        <w:rPr>
          <w:rStyle w:val="Strong"/>
        </w:rPr>
      </w:pPr>
      <w:bookmarkStart w:id="167" w:name="_Toc291251555"/>
      <w:r w:rsidRPr="009E085F">
        <w:rPr>
          <w:rStyle w:val="Strong"/>
        </w:rPr>
        <w:t>Pilot Scenario</w:t>
      </w:r>
      <w:bookmarkEnd w:id="167"/>
    </w:p>
    <w:p w14:paraId="7C57EB42" w14:textId="139A04B7" w:rsidR="00EB4FB5" w:rsidRDefault="00885E3B" w:rsidP="00B5779A">
      <w:pPr>
        <w:spacing w:before="80" w:after="80"/>
        <w:contextualSpacing/>
      </w:pPr>
      <w:r>
        <w:t xml:space="preserve">Activities in the Pilot will be directed toward simulation of an </w:t>
      </w:r>
      <w:r w:rsidR="0074066C">
        <w:t xml:space="preserve">urban </w:t>
      </w:r>
      <w:r w:rsidR="00D54ECD">
        <w:t>H</w:t>
      </w:r>
      <w:r w:rsidR="0074066C">
        <w:t xml:space="preserve">azmat accident scenario. </w:t>
      </w:r>
    </w:p>
    <w:p w14:paraId="377DE4FA" w14:textId="77777777" w:rsidR="00EB4FB5" w:rsidRDefault="00EB4FB5" w:rsidP="00B5779A">
      <w:pPr>
        <w:spacing w:before="80" w:after="80"/>
        <w:contextualSpacing/>
      </w:pPr>
    </w:p>
    <w:p w14:paraId="2758944C" w14:textId="1E68DEA1" w:rsidR="003237AE" w:rsidRDefault="00EB4FB5" w:rsidP="00B5779A">
      <w:pPr>
        <w:spacing w:before="80" w:after="80"/>
        <w:contextualSpacing/>
      </w:pPr>
      <w:r w:rsidRPr="003237AE">
        <w:rPr>
          <w:b/>
        </w:rPr>
        <w:t>Scenario:</w:t>
      </w:r>
      <w:r>
        <w:t xml:space="preserve"> The incident occurs</w:t>
      </w:r>
      <w:r w:rsidR="0076460F">
        <w:t xml:space="preserve"> during </w:t>
      </w:r>
      <w:r>
        <w:t>the</w:t>
      </w:r>
      <w:r w:rsidR="0076460F">
        <w:t xml:space="preserve"> work week, in the summer</w:t>
      </w:r>
      <w:r>
        <w:t>,</w:t>
      </w:r>
      <w:r w:rsidR="0076460F">
        <w:t xml:space="preserve"> at the beginnig of rush hour</w:t>
      </w:r>
      <w:r>
        <w:t xml:space="preserve"> with a cold front approaching expected to impact the vicinity within 2 hours.  </w:t>
      </w:r>
      <w:r w:rsidR="0076460F">
        <w:t xml:space="preserve"> </w:t>
      </w:r>
      <w:r w:rsidR="00885E3B">
        <w:t xml:space="preserve"> </w:t>
      </w:r>
      <w:r>
        <w:t xml:space="preserve">A </w:t>
      </w:r>
      <w:r w:rsidR="00885E3B">
        <w:t>large</w:t>
      </w:r>
      <w:r w:rsidR="006327A7">
        <w:t xml:space="preserve"> eighteen-wheel</w:t>
      </w:r>
      <w:r w:rsidR="00885E3B">
        <w:t xml:space="preserve"> </w:t>
      </w:r>
      <w:r w:rsidR="00191784">
        <w:t xml:space="preserve">tanker </w:t>
      </w:r>
      <w:r w:rsidR="00885E3B">
        <w:t>truck</w:t>
      </w:r>
      <w:r w:rsidR="002B3C07">
        <w:t xml:space="preserve"> is</w:t>
      </w:r>
      <w:r w:rsidR="00191784">
        <w:t xml:space="preserve"> traveling on an interstate highway that paralles a river which is also a jurisdictional boundary between the city and adjacent county. The tanker truck exits the highway onto an exit ramp and decends around a curve into the city.  The tanker </w:t>
      </w:r>
      <w:r w:rsidR="00E7192B">
        <w:t xml:space="preserve">collides </w:t>
      </w:r>
      <w:r w:rsidR="00191784">
        <w:t xml:space="preserve">with the </w:t>
      </w:r>
      <w:r w:rsidR="0076460F">
        <w:t>curb barrier</w:t>
      </w:r>
      <w:r w:rsidR="00191784">
        <w:t>, l</w:t>
      </w:r>
      <w:r w:rsidR="009A16A3">
        <w:t>o</w:t>
      </w:r>
      <w:r w:rsidR="00191784">
        <w:t xml:space="preserve">ses control and flips over the </w:t>
      </w:r>
      <w:r w:rsidR="00191784">
        <w:lastRenderedPageBreak/>
        <w:t xml:space="preserve">barrier onto the underpass street below. The truck </w:t>
      </w:r>
      <w:r w:rsidR="0076460F">
        <w:t>lands on the traffic below</w:t>
      </w:r>
      <w:r>
        <w:t>, knocks down a power line and transformer</w:t>
      </w:r>
      <w:r w:rsidR="0076460F">
        <w:t xml:space="preserve"> and </w:t>
      </w:r>
      <w:r>
        <w:t xml:space="preserve">comes to rest </w:t>
      </w:r>
      <w:r w:rsidR="0076460F">
        <w:t>a</w:t>
      </w:r>
      <w:r>
        <w:t>gainst a</w:t>
      </w:r>
      <w:r w:rsidR="0076460F">
        <w:t xml:space="preserve"> 10 story </w:t>
      </w:r>
      <w:r w:rsidR="006327A7">
        <w:t>masonary constructed apartment</w:t>
      </w:r>
      <w:r w:rsidR="0076460F">
        <w:t xml:space="preserve"> complex that </w:t>
      </w:r>
      <w:r w:rsidR="006327A7">
        <w:t>is</w:t>
      </w:r>
      <w:r w:rsidR="0076460F">
        <w:t xml:space="preserve"> adjacent to the off ramp blocking its main entrance and undergound garage.  </w:t>
      </w:r>
      <w:r w:rsidR="00191784">
        <w:t>There are several vehicles  trapped under and blocked by the truck</w:t>
      </w:r>
      <w:r w:rsidR="0076460F">
        <w:t xml:space="preserve"> resulting in a significant traffic incident both on the highway and local </w:t>
      </w:r>
      <w:r w:rsidR="006327A7">
        <w:t>roadways</w:t>
      </w:r>
      <w:r w:rsidR="0076460F">
        <w:t>.</w:t>
      </w:r>
      <w:r w:rsidR="002B3C07">
        <w:t xml:space="preserve"> Several other cars and trucks are also involved in the accident. There are </w:t>
      </w:r>
      <w:r w:rsidR="006327A7">
        <w:t>multiple</w:t>
      </w:r>
      <w:r w:rsidR="002B3C07">
        <w:t xml:space="preserve"> injuries. One or more vehicles catch fire and the truck’s unknown but possibly hazardous (toxic, volatile, flammable) cargo begins to leak.</w:t>
      </w:r>
      <w:r w:rsidR="0076460F">
        <w:t xml:space="preserve">  The DOT </w:t>
      </w:r>
      <w:r w:rsidR="00447326">
        <w:t xml:space="preserve">placard </w:t>
      </w:r>
      <w:r w:rsidR="0076460F">
        <w:t xml:space="preserve">is </w:t>
      </w:r>
      <w:r w:rsidR="003237AE">
        <w:t xml:space="preserve">absent or </w:t>
      </w:r>
      <w:r w:rsidR="0076460F">
        <w:t>not visible due to the wreckage and location of the other vehicles and apartment complex.</w:t>
      </w:r>
    </w:p>
    <w:p w14:paraId="519765FE" w14:textId="1E8D4C11" w:rsidR="002B3C07" w:rsidRDefault="0076460F" w:rsidP="00B5779A">
      <w:pPr>
        <w:spacing w:before="80" w:after="80"/>
        <w:contextualSpacing/>
      </w:pPr>
      <w:r>
        <w:t xml:space="preserve"> </w:t>
      </w:r>
    </w:p>
    <w:p w14:paraId="3F8EB7C7" w14:textId="38318F05" w:rsidR="002B3C07" w:rsidRDefault="002B3C07" w:rsidP="00B5779A">
      <w:pPr>
        <w:spacing w:before="80" w:after="80"/>
        <w:contextualSpacing/>
      </w:pPr>
      <w:r>
        <w:t>Bystanders immediately call 911 and begin twe</w:t>
      </w:r>
      <w:r w:rsidR="00187C5B">
        <w:t>eting photos and descriptions. City l</w:t>
      </w:r>
      <w:r>
        <w:t>aw enforcement arrives a minute later</w:t>
      </w:r>
      <w:r w:rsidR="00964B59">
        <w:t xml:space="preserve"> and puts in a call for fire, hazmat, and emergency medical responders from the main city jurisdiction</w:t>
      </w:r>
      <w:r w:rsidR="0008083C">
        <w:t>. The dispatcher</w:t>
      </w:r>
      <w:r w:rsidR="00BA6F70">
        <w:t xml:space="preserve"> notes the proximity of the city boundary and issues a</w:t>
      </w:r>
      <w:r w:rsidR="00EB4FB5">
        <w:t xml:space="preserve"> mutual</w:t>
      </w:r>
      <w:r w:rsidR="00BA6F70">
        <w:t xml:space="preserve"> aid request to</w:t>
      </w:r>
      <w:r w:rsidR="00BA6F70" w:rsidRPr="00BA6F70">
        <w:t xml:space="preserve"> </w:t>
      </w:r>
      <w:r w:rsidR="00BA6F70">
        <w:t>the adjoining county dispatch system</w:t>
      </w:r>
      <w:r w:rsidR="0008083C">
        <w:t>.</w:t>
      </w:r>
      <w:r w:rsidR="0074066C">
        <w:t xml:space="preserve"> </w:t>
      </w:r>
      <w:r w:rsidR="00EB4FB5">
        <w:t xml:space="preserve">Each of the respective jurisdictions (city and county)  </w:t>
      </w:r>
      <w:r w:rsidR="006327A7">
        <w:t>dispatch their</w:t>
      </w:r>
      <w:r w:rsidR="00A426CF">
        <w:t xml:space="preserve"> first responder</w:t>
      </w:r>
      <w:r w:rsidR="006327A7">
        <w:t xml:space="preserve"> resources via Computer Aided Dispatch and </w:t>
      </w:r>
      <w:r w:rsidR="00A426CF">
        <w:t xml:space="preserve">stand up </w:t>
      </w:r>
      <w:r w:rsidR="00EB4FB5">
        <w:t>their respective Emergency Operation Centers (EOCs)</w:t>
      </w:r>
      <w:r w:rsidR="003D30D7">
        <w:t xml:space="preserve">. </w:t>
      </w:r>
      <w:r w:rsidR="00EB4FB5">
        <w:t xml:space="preserve"> </w:t>
      </w:r>
    </w:p>
    <w:p w14:paraId="12730AA5" w14:textId="77777777" w:rsidR="001576D5" w:rsidRDefault="001576D5" w:rsidP="00B5779A">
      <w:pPr>
        <w:spacing w:before="80" w:after="80"/>
        <w:contextualSpacing/>
      </w:pPr>
    </w:p>
    <w:p w14:paraId="2520EA5A" w14:textId="6048860F" w:rsidR="00A426CF" w:rsidRDefault="0074066C" w:rsidP="00B5779A">
      <w:pPr>
        <w:spacing w:before="80" w:after="80"/>
        <w:contextualSpacing/>
      </w:pPr>
      <w:r>
        <w:t>The initial priority is to establish awareness of the situation</w:t>
      </w:r>
      <w:r w:rsidR="003D30D7">
        <w:t>, determine life saving requirements</w:t>
      </w:r>
      <w:r w:rsidR="005433B5">
        <w:t>,</w:t>
      </w:r>
      <w:r w:rsidR="003D30D7">
        <w:t xml:space="preserve"> and determine the extent of the incident and its magnitude.  </w:t>
      </w:r>
      <w:r w:rsidR="00A426CF">
        <w:t xml:space="preserve"> On</w:t>
      </w:r>
      <w:r w:rsidR="005433B5">
        <w:t>-</w:t>
      </w:r>
      <w:r w:rsidR="00A426CF">
        <w:t xml:space="preserve">scene incident command is established by the City Fire Battalion Chief (BC).  The BC makes an initial situation report to the City PSAP describing the situation as a tanker accident with leaking contents, fire, and injuries.  The BC requests additional alarms, HazMat response, an EMS Task Force and for the Police Commander to report to the command post.  The Chief quickly develops the initial strategy for this incident which includes </w:t>
      </w:r>
      <w:r w:rsidR="00524C4D">
        <w:t xml:space="preserve">deactivation of the downed power line, </w:t>
      </w:r>
      <w:r w:rsidR="00A426CF">
        <w:t xml:space="preserve">rescue of trapped and injured persons, extinguishment of fires, and containment of spilled cargo.  As the EOCs are stood up, staff quickly pull up </w:t>
      </w:r>
      <w:r w:rsidR="00D10FB6">
        <w:t>data from multiple sources to characterize and visualize</w:t>
      </w:r>
      <w:r w:rsidR="00A426CF">
        <w:t xml:space="preserve"> the incident scene including resource staging, in</w:t>
      </w:r>
      <w:r w:rsidR="00EA3346">
        <w:t>cid</w:t>
      </w:r>
      <w:r w:rsidR="00A426CF">
        <w:t>ent perim</w:t>
      </w:r>
      <w:r w:rsidR="005433B5">
        <w:t>e</w:t>
      </w:r>
      <w:r w:rsidR="00A426CF">
        <w:t xml:space="preserve">ter, access and egress points, </w:t>
      </w:r>
      <w:r w:rsidR="005433B5">
        <w:t>as well as</w:t>
      </w:r>
      <w:r w:rsidR="00A426CF">
        <w:t xml:space="preserve"> potential </w:t>
      </w:r>
      <w:r w:rsidR="00524C4D">
        <w:t xml:space="preserve">spill and flow patterns and/or smoke plume size and direction. </w:t>
      </w:r>
    </w:p>
    <w:p w14:paraId="6142DC1C" w14:textId="77777777" w:rsidR="00524C4D" w:rsidRDefault="00524C4D" w:rsidP="00B5779A">
      <w:pPr>
        <w:spacing w:before="80" w:after="80"/>
        <w:contextualSpacing/>
      </w:pPr>
    </w:p>
    <w:p w14:paraId="01AE9FD0" w14:textId="7A43589B" w:rsidR="00B5779A" w:rsidRDefault="001576D5" w:rsidP="00B5779A">
      <w:pPr>
        <w:spacing w:before="80" w:after="80"/>
        <w:contextualSpacing/>
      </w:pPr>
      <w:r>
        <w:t xml:space="preserve">Responding organizations contribute a variety of sensor resources to aid in awareness of the situation. City law enforcement tasks </w:t>
      </w:r>
      <w:r w:rsidR="003D30D7">
        <w:t>camera mounted vehicles and request</w:t>
      </w:r>
      <w:r w:rsidR="00EA3346">
        <w:t>s</w:t>
      </w:r>
      <w:r w:rsidR="003D30D7">
        <w:t xml:space="preserve"> </w:t>
      </w:r>
      <w:r>
        <w:t xml:space="preserve">a video-equipped drone as well as </w:t>
      </w:r>
      <w:r w:rsidR="00EA3346">
        <w:t xml:space="preserve">access to </w:t>
      </w:r>
      <w:r>
        <w:t xml:space="preserve">traffic cameras to contribute periodic imagery of the incident area. City firefighters deploy wearable </w:t>
      </w:r>
      <w:r w:rsidR="003D30D7">
        <w:t>biometric</w:t>
      </w:r>
      <w:r>
        <w:t xml:space="preserve"> </w:t>
      </w:r>
      <w:r w:rsidR="003D30D7">
        <w:t>sensors</w:t>
      </w:r>
      <w:r>
        <w:t xml:space="preserve">. </w:t>
      </w:r>
      <w:r w:rsidR="003D30D7">
        <w:t>Hazmat teams begin to arrive onsite,  deploy environmental sensors</w:t>
      </w:r>
      <w:r w:rsidR="00EA3346">
        <w:t>,</w:t>
      </w:r>
      <w:r w:rsidR="003D30D7">
        <w:t xml:space="preserve"> begin to transmit data about possible haz</w:t>
      </w:r>
      <w:r w:rsidR="00524C4D">
        <w:t>ardous</w:t>
      </w:r>
      <w:r w:rsidR="003D30D7">
        <w:t xml:space="preserve"> materials</w:t>
      </w:r>
      <w:r w:rsidR="00EA3346">
        <w:t>,</w:t>
      </w:r>
      <w:r w:rsidR="003D30D7">
        <w:t xml:space="preserve"> and request informa</w:t>
      </w:r>
      <w:r w:rsidR="00EA3346">
        <w:t>ti</w:t>
      </w:r>
      <w:r w:rsidR="003D30D7">
        <w:t>on regarding the tanker. The</w:t>
      </w:r>
      <w:r>
        <w:t xml:space="preserve"> hazmat teams deploy </w:t>
      </w:r>
      <w:r w:rsidR="00257DF3">
        <w:t xml:space="preserve">portable </w:t>
      </w:r>
      <w:r>
        <w:t>air sensors around the incident perimeter to track migration. EOC analysts develop situation products such as migration models</w:t>
      </w:r>
      <w:r w:rsidR="00257DF3">
        <w:t xml:space="preserve"> to share with all stakeholders and set triggers / alerts on the air sensor observations to guide evacuation planning. City emergency managers also activate agreements with managers of a nearby building to access building sensor systems and monitor its internal environment</w:t>
      </w:r>
      <w:r w:rsidR="00D4711F">
        <w:t>al</w:t>
      </w:r>
      <w:r w:rsidR="00257DF3">
        <w:t xml:space="preserve"> conditions as a possible evacuation site.</w:t>
      </w:r>
    </w:p>
    <w:p w14:paraId="3F523E51" w14:textId="77777777" w:rsidR="00257DF3" w:rsidRDefault="00257DF3" w:rsidP="00B5779A">
      <w:pPr>
        <w:spacing w:before="80" w:after="80"/>
        <w:contextualSpacing/>
      </w:pPr>
    </w:p>
    <w:p w14:paraId="35F734F4" w14:textId="499FBCB8" w:rsidR="00B34991" w:rsidRDefault="003D30D7" w:rsidP="00B5779A">
      <w:pPr>
        <w:spacing w:before="80" w:after="80"/>
        <w:contextualSpacing/>
      </w:pPr>
      <w:r>
        <w:t>The apartment building and its garage are required to be evacuated and there is concern about both haz</w:t>
      </w:r>
      <w:r w:rsidR="00524C4D">
        <w:t>ardous</w:t>
      </w:r>
      <w:r>
        <w:t xml:space="preserve"> material seepage into the garage and fire </w:t>
      </w:r>
      <w:r w:rsidR="00B34991">
        <w:t xml:space="preserve">impact to the building.  Fire and rescue are required to clear the building and the downed powerline interupts electricity to the building.  </w:t>
      </w:r>
    </w:p>
    <w:p w14:paraId="7D75DFEC" w14:textId="77777777" w:rsidR="00B34991" w:rsidRDefault="00B34991" w:rsidP="00B5779A">
      <w:pPr>
        <w:spacing w:before="80" w:after="80"/>
        <w:contextualSpacing/>
      </w:pPr>
    </w:p>
    <w:p w14:paraId="512D78B3" w14:textId="04AB20C2" w:rsidR="00257DF3" w:rsidRDefault="00257DF3" w:rsidP="00B5779A">
      <w:pPr>
        <w:spacing w:before="80" w:after="80"/>
        <w:contextualSpacing/>
      </w:pPr>
      <w:r>
        <w:t xml:space="preserve">Public observations </w:t>
      </w:r>
      <w:r w:rsidR="00D4711F">
        <w:t xml:space="preserve">on </w:t>
      </w:r>
      <w:r>
        <w:t xml:space="preserve">social media </w:t>
      </w:r>
      <w:r w:rsidR="00D4711F">
        <w:t xml:space="preserve">serve to detect and </w:t>
      </w:r>
      <w:r>
        <w:t>map out a migration of leaked fluid into a nearby wetland, triggering a revision of the incident perimeter</w:t>
      </w:r>
      <w:r w:rsidR="00A17A35">
        <w:t xml:space="preserve">, re-deployment of medical responders in the vicinity, and call up </w:t>
      </w:r>
      <w:r>
        <w:t>of an environmental management unit with hazmat cleanup capabilities</w:t>
      </w:r>
      <w:r w:rsidR="00A17A35">
        <w:t xml:space="preserve">. </w:t>
      </w:r>
    </w:p>
    <w:p w14:paraId="433DD15A" w14:textId="77777777" w:rsidR="00A17A35" w:rsidRDefault="00A17A35" w:rsidP="00B5779A">
      <w:pPr>
        <w:spacing w:before="80" w:after="80"/>
        <w:contextualSpacing/>
      </w:pPr>
    </w:p>
    <w:p w14:paraId="35953825" w14:textId="02077D4A" w:rsidR="00A17A35" w:rsidRDefault="00A17A35" w:rsidP="00B5779A">
      <w:pPr>
        <w:spacing w:before="80" w:after="80"/>
        <w:contextualSpacing/>
      </w:pPr>
      <w:r>
        <w:t xml:space="preserve">As the fires and hazardous materials are contained, accident victims </w:t>
      </w:r>
      <w:r w:rsidR="003D30D7">
        <w:t xml:space="preserve">are </w:t>
      </w:r>
      <w:r>
        <w:t xml:space="preserve">treated and evacuated, and traffic re-routed around the area, the situation evolves from response to recovery. Deployed sensor units are recovered, maintained, and stored for future use. Links to incident data are organized as a record of the </w:t>
      </w:r>
      <w:r w:rsidR="00257545">
        <w:t xml:space="preserve">incident </w:t>
      </w:r>
      <w:r>
        <w:t>response for use in retrospective</w:t>
      </w:r>
      <w:r w:rsidR="00257545">
        <w:t xml:space="preserve"> training / learning activities</w:t>
      </w:r>
      <w:r>
        <w:t xml:space="preserve"> and for use in tracking any subsequent </w:t>
      </w:r>
      <w:r w:rsidR="00257545">
        <w:t>effects on</w:t>
      </w:r>
      <w:r>
        <w:t xml:space="preserve"> incident responders or victims.</w:t>
      </w:r>
    </w:p>
    <w:p w14:paraId="65FFBC52" w14:textId="3AC90625" w:rsidR="00EF57FC" w:rsidRDefault="00EF57FC" w:rsidP="00EF57FC">
      <w:pPr>
        <w:pStyle w:val="Heading3"/>
      </w:pPr>
      <w:bookmarkStart w:id="168" w:name="_Toc291251556"/>
      <w:r>
        <w:lastRenderedPageBreak/>
        <w:t>Use Cases</w:t>
      </w:r>
      <w:bookmarkEnd w:id="168"/>
    </w:p>
    <w:p w14:paraId="1EE885BC" w14:textId="77777777" w:rsidR="00EF57FC" w:rsidRDefault="00EF57FC" w:rsidP="00EF57FC">
      <w:pPr>
        <w:spacing w:before="80" w:after="80"/>
        <w:contextualSpacing/>
      </w:pPr>
    </w:p>
    <w:p w14:paraId="595F3F02" w14:textId="4C8A5646" w:rsidR="00EF57FC" w:rsidRDefault="00EF57FC" w:rsidP="00EF57FC">
      <w:pPr>
        <w:spacing w:before="80" w:after="80"/>
        <w:contextualSpacing/>
      </w:pPr>
      <w:r>
        <w:t>The following use cases describe typical roles, activities, and objectives to be addressed by specific 1st Responder Communities during the IMIS IoT Project. The Use Cases will be refined and implemented in the course of design, testing, and demonstration phases. The activities in this initiative will be performed according to the plans set forth in the Concept of Operations, contained in Section 4 of Annex A to this RFQ/CFP. Deliverable requirements are provided in Section 5 of the RFQ/CFP Main Body.</w:t>
      </w:r>
    </w:p>
    <w:p w14:paraId="36011508" w14:textId="77777777" w:rsidR="00EF57FC" w:rsidRDefault="00EF57FC" w:rsidP="00EF57FC">
      <w:pPr>
        <w:spacing w:before="80" w:after="80"/>
        <w:contextualSpacing/>
      </w:pPr>
    </w:p>
    <w:p w14:paraId="62909D8F" w14:textId="77777777" w:rsidR="00EF57FC" w:rsidRDefault="00EF57FC" w:rsidP="00EF57FC">
      <w:pPr>
        <w:pStyle w:val="Heading4"/>
      </w:pPr>
      <w:r>
        <w:t>Use Case 1: Law Enforcement</w:t>
      </w: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139"/>
      </w:tblGrid>
      <w:tr w:rsidR="00EF57FC" w:rsidRPr="006628DD" w14:paraId="5ACAA274" w14:textId="77777777" w:rsidTr="00167A93">
        <w:tc>
          <w:tcPr>
            <w:tcW w:w="9047" w:type="dxa"/>
            <w:gridSpan w:val="2"/>
            <w:shd w:val="clear" w:color="auto" w:fill="D9D9D9"/>
          </w:tcPr>
          <w:p w14:paraId="60F965FE" w14:textId="77777777" w:rsidR="00EF57FC" w:rsidRPr="00EB2E3B" w:rsidRDefault="00EF57FC" w:rsidP="00E53809">
            <w:pPr>
              <w:pStyle w:val="Heading4"/>
              <w:numPr>
                <w:ilvl w:val="0"/>
                <w:numId w:val="0"/>
              </w:numPr>
            </w:pPr>
            <w:r w:rsidRPr="00EB2E3B">
              <w:t>Overview</w:t>
            </w:r>
          </w:p>
        </w:tc>
      </w:tr>
      <w:tr w:rsidR="00EF57FC" w:rsidRPr="00AE7AED" w14:paraId="5D6E9F09" w14:textId="77777777" w:rsidTr="00167A93">
        <w:tc>
          <w:tcPr>
            <w:tcW w:w="1908" w:type="dxa"/>
          </w:tcPr>
          <w:p w14:paraId="2AC72C89" w14:textId="77777777" w:rsidR="00EF57FC" w:rsidRPr="00AE7AED" w:rsidRDefault="00EF57FC" w:rsidP="00EF57FC">
            <w:pPr>
              <w:ind w:left="180"/>
              <w:rPr>
                <w:b/>
              </w:rPr>
            </w:pPr>
            <w:r w:rsidRPr="00AE7AED">
              <w:rPr>
                <w:b/>
              </w:rPr>
              <w:t>Title</w:t>
            </w:r>
          </w:p>
        </w:tc>
        <w:tc>
          <w:tcPr>
            <w:tcW w:w="7139" w:type="dxa"/>
          </w:tcPr>
          <w:p w14:paraId="360448EE" w14:textId="77777777" w:rsidR="00EF57FC" w:rsidRPr="00BA4CFB" w:rsidRDefault="00EF57FC" w:rsidP="00615B4E">
            <w:pPr>
              <w:pStyle w:val="Heading4"/>
              <w:numPr>
                <w:ilvl w:val="0"/>
                <w:numId w:val="0"/>
              </w:numPr>
            </w:pPr>
            <w:r w:rsidRPr="002F5BC6">
              <w:rPr>
                <w:rFonts w:ascii="Times New Roman" w:hAnsi="Times New Roman"/>
                <w:i w:val="0"/>
              </w:rPr>
              <w:t>Law enforcement incident response</w:t>
            </w:r>
          </w:p>
        </w:tc>
      </w:tr>
      <w:tr w:rsidR="00EF57FC" w:rsidRPr="00AE7AED" w14:paraId="77A64D36" w14:textId="77777777" w:rsidTr="00167A93">
        <w:tc>
          <w:tcPr>
            <w:tcW w:w="1908" w:type="dxa"/>
          </w:tcPr>
          <w:p w14:paraId="77D80E88" w14:textId="77777777" w:rsidR="00EF57FC" w:rsidRPr="00AE7AED" w:rsidRDefault="00EF57FC" w:rsidP="00EF57FC">
            <w:pPr>
              <w:ind w:left="180"/>
              <w:rPr>
                <w:b/>
              </w:rPr>
            </w:pPr>
            <w:r w:rsidRPr="00AE7AED">
              <w:rPr>
                <w:b/>
              </w:rPr>
              <w:t>Description</w:t>
            </w:r>
          </w:p>
        </w:tc>
        <w:tc>
          <w:tcPr>
            <w:tcW w:w="7139" w:type="dxa"/>
          </w:tcPr>
          <w:p w14:paraId="36B277AF" w14:textId="77777777" w:rsidR="00EF57FC" w:rsidRPr="00BA4CFB" w:rsidRDefault="00EF57FC" w:rsidP="00167A93">
            <w:pPr>
              <w:pStyle w:val="Heading4"/>
              <w:numPr>
                <w:ilvl w:val="0"/>
                <w:numId w:val="0"/>
              </w:numPr>
              <w:jc w:val="left"/>
            </w:pPr>
            <w:r w:rsidRPr="002F5BC6">
              <w:rPr>
                <w:rFonts w:ascii="Times New Roman" w:hAnsi="Times New Roman"/>
                <w:i w:val="0"/>
              </w:rPr>
              <w:t>Police and other law enforcement responders in the Pilot scenario focus on overall awareness of the situation and maintaining public safety, including traffic and perimeter control, and organization of any evacuation orders across the impact area of the incident. Law enforcement will be primarily responsible for still and moving imagery of the incident and environs.</w:t>
            </w:r>
          </w:p>
        </w:tc>
      </w:tr>
      <w:tr w:rsidR="00EF57FC" w:rsidRPr="00AE7AED" w14:paraId="7A28D71D" w14:textId="77777777" w:rsidTr="00167A93">
        <w:tc>
          <w:tcPr>
            <w:tcW w:w="1908" w:type="dxa"/>
          </w:tcPr>
          <w:p w14:paraId="41ED0C40" w14:textId="77777777" w:rsidR="00EF57FC" w:rsidRPr="00AE7AED" w:rsidRDefault="00EF57FC" w:rsidP="00EF57FC">
            <w:pPr>
              <w:ind w:left="180"/>
              <w:rPr>
                <w:b/>
              </w:rPr>
            </w:pPr>
            <w:r w:rsidRPr="00AE7AED">
              <w:rPr>
                <w:b/>
              </w:rPr>
              <w:t>Actors and Interfaces</w:t>
            </w:r>
          </w:p>
        </w:tc>
        <w:tc>
          <w:tcPr>
            <w:tcW w:w="7139" w:type="dxa"/>
          </w:tcPr>
          <w:p w14:paraId="3DFBC200" w14:textId="77777777" w:rsidR="00EF57FC" w:rsidRPr="00FF35C8" w:rsidRDefault="00EF57FC" w:rsidP="00615B4E">
            <w:pPr>
              <w:pStyle w:val="Heading4"/>
              <w:numPr>
                <w:ilvl w:val="0"/>
                <w:numId w:val="79"/>
              </w:numPr>
              <w:rPr>
                <w:rFonts w:ascii="Times New Roman" w:hAnsi="Times New Roman"/>
                <w:i w:val="0"/>
              </w:rPr>
            </w:pPr>
            <w:r w:rsidRPr="00FF35C8">
              <w:rPr>
                <w:rFonts w:ascii="Times New Roman" w:hAnsi="Times New Roman"/>
                <w:i w:val="0"/>
              </w:rPr>
              <w:t>Responding police officers</w:t>
            </w:r>
          </w:p>
          <w:p w14:paraId="7E4E502A" w14:textId="77777777" w:rsidR="00EF57FC" w:rsidRPr="00FF35C8" w:rsidRDefault="00EF57FC" w:rsidP="00615B4E">
            <w:pPr>
              <w:pStyle w:val="Heading4"/>
              <w:numPr>
                <w:ilvl w:val="0"/>
                <w:numId w:val="79"/>
              </w:numPr>
              <w:rPr>
                <w:rFonts w:ascii="Times New Roman" w:hAnsi="Times New Roman"/>
                <w:i w:val="0"/>
              </w:rPr>
            </w:pPr>
            <w:r w:rsidRPr="00FF35C8">
              <w:rPr>
                <w:rFonts w:ascii="Times New Roman" w:hAnsi="Times New Roman"/>
                <w:i w:val="0"/>
              </w:rPr>
              <w:t>Police dispatcher</w:t>
            </w:r>
          </w:p>
          <w:p w14:paraId="1D66571E" w14:textId="77777777" w:rsidR="00EF57FC" w:rsidRPr="00536832" w:rsidRDefault="00EF57FC" w:rsidP="00615B4E">
            <w:pPr>
              <w:pStyle w:val="Heading4"/>
              <w:numPr>
                <w:ilvl w:val="0"/>
                <w:numId w:val="79"/>
              </w:numPr>
            </w:pPr>
            <w:r w:rsidRPr="00FF35C8">
              <w:rPr>
                <w:rFonts w:ascii="Times New Roman" w:hAnsi="Times New Roman"/>
                <w:i w:val="0"/>
              </w:rPr>
              <w:t>Vehicle mounter video / Drone / traffic cam operator / analyst</w:t>
            </w:r>
          </w:p>
        </w:tc>
      </w:tr>
      <w:tr w:rsidR="00EF57FC" w:rsidRPr="00AE7AED" w14:paraId="7FF2F830" w14:textId="77777777" w:rsidTr="00167A93">
        <w:tc>
          <w:tcPr>
            <w:tcW w:w="1908" w:type="dxa"/>
          </w:tcPr>
          <w:p w14:paraId="0BD15CBD" w14:textId="77777777" w:rsidR="00EF57FC" w:rsidRPr="00AE7AED" w:rsidRDefault="00EF57FC" w:rsidP="00EF57FC">
            <w:pPr>
              <w:ind w:left="180"/>
              <w:rPr>
                <w:b/>
              </w:rPr>
            </w:pPr>
            <w:r w:rsidRPr="00AE7AED">
              <w:rPr>
                <w:b/>
              </w:rPr>
              <w:t>Initial Status and Preconditions</w:t>
            </w:r>
          </w:p>
        </w:tc>
        <w:tc>
          <w:tcPr>
            <w:tcW w:w="7139" w:type="dxa"/>
          </w:tcPr>
          <w:p w14:paraId="79DF7308" w14:textId="77777777" w:rsidR="00EF57FC" w:rsidRPr="00BA4CFB" w:rsidRDefault="00EF57FC" w:rsidP="00615B4E">
            <w:pPr>
              <w:pStyle w:val="Heading4"/>
              <w:numPr>
                <w:ilvl w:val="0"/>
                <w:numId w:val="0"/>
              </w:numPr>
            </w:pPr>
            <w:r w:rsidRPr="002F5BC6">
              <w:rPr>
                <w:rFonts w:ascii="Times New Roman" w:hAnsi="Times New Roman"/>
                <w:i w:val="0"/>
              </w:rPr>
              <w:t>Patrol officers arrive at scene equipped with Land Mobile Radios (LMRs)  and networked tablets / smartphones.</w:t>
            </w:r>
          </w:p>
          <w:p w14:paraId="0C4CF8D7" w14:textId="77777777" w:rsidR="00EF57FC" w:rsidRPr="00AE7AED" w:rsidRDefault="00EF57FC" w:rsidP="00615B4E">
            <w:pPr>
              <w:pStyle w:val="BodyText"/>
            </w:pPr>
          </w:p>
        </w:tc>
      </w:tr>
      <w:tr w:rsidR="00EF57FC" w:rsidRPr="00AE7AED" w14:paraId="50A37EA1" w14:textId="77777777" w:rsidTr="00167A93">
        <w:tc>
          <w:tcPr>
            <w:tcW w:w="9047" w:type="dxa"/>
            <w:gridSpan w:val="2"/>
            <w:shd w:val="clear" w:color="auto" w:fill="D9D9D9"/>
          </w:tcPr>
          <w:p w14:paraId="27285076" w14:textId="77777777" w:rsidR="00EF57FC" w:rsidRPr="00EB2E3B" w:rsidRDefault="00EF57FC" w:rsidP="00615B4E">
            <w:pPr>
              <w:pStyle w:val="Heading4"/>
              <w:numPr>
                <w:ilvl w:val="0"/>
                <w:numId w:val="0"/>
              </w:numPr>
            </w:pPr>
            <w:r w:rsidRPr="00EB2E3B">
              <w:t>Basic Flow</w:t>
            </w:r>
          </w:p>
        </w:tc>
      </w:tr>
      <w:tr w:rsidR="00EF57FC" w:rsidRPr="00AE7AED" w14:paraId="7DF84D20" w14:textId="77777777" w:rsidTr="00167A93">
        <w:tc>
          <w:tcPr>
            <w:tcW w:w="9047" w:type="dxa"/>
            <w:gridSpan w:val="2"/>
          </w:tcPr>
          <w:p w14:paraId="2B3DD66F" w14:textId="77777777" w:rsidR="00EF57FC" w:rsidRPr="00EB2E3B" w:rsidRDefault="00EF57FC">
            <w:pPr>
              <w:pStyle w:val="InfoBlue"/>
            </w:pPr>
            <w:r w:rsidRPr="00EB2E3B">
              <w:t xml:space="preserve">Step 1: Responding officer reports </w:t>
            </w:r>
            <w:r>
              <w:t xml:space="preserve">situation: </w:t>
            </w:r>
            <w:r w:rsidRPr="00EB2E3B">
              <w:t xml:space="preserve">initial location, </w:t>
            </w:r>
            <w:r>
              <w:t xml:space="preserve">event </w:t>
            </w:r>
            <w:r w:rsidRPr="00EB2E3B">
              <w:t>type, extent of incident</w:t>
            </w:r>
            <w:r>
              <w:t xml:space="preserve"> including an estimate of injuries, existence of fire and downed power line.</w:t>
            </w:r>
          </w:p>
          <w:p w14:paraId="7E582208" w14:textId="77777777" w:rsidR="00EF57FC" w:rsidRPr="00EB2E3B" w:rsidRDefault="00EF57FC">
            <w:pPr>
              <w:pStyle w:val="InfoBlue"/>
            </w:pPr>
            <w:r w:rsidRPr="00EB2E3B">
              <w:t>Step 2: Dispatcher notifies supervisors, related groups, and adjoining / overlapping jurisdictions</w:t>
            </w:r>
          </w:p>
          <w:p w14:paraId="161E9893" w14:textId="77777777" w:rsidR="00EF57FC" w:rsidRPr="00EB2E3B" w:rsidRDefault="00EF57FC">
            <w:pPr>
              <w:pStyle w:val="InfoBlue"/>
            </w:pPr>
            <w:r w:rsidRPr="00EB2E3B">
              <w:t>Step 3: Cam</w:t>
            </w:r>
            <w:r>
              <w:t>era</w:t>
            </w:r>
            <w:r w:rsidRPr="00EB2E3B">
              <w:t xml:space="preserve"> operator / analyst performs search of recent feeds, tasks mobile camera(s), returns imagery links to officers</w:t>
            </w:r>
            <w:r>
              <w:t>, Incident Commander, and EOC(s).</w:t>
            </w:r>
          </w:p>
          <w:p w14:paraId="2ED0090F" w14:textId="1B170637" w:rsidR="00EF57FC" w:rsidRPr="00EB2E3B" w:rsidRDefault="00EF57FC">
            <w:pPr>
              <w:pStyle w:val="InfoBlue"/>
            </w:pPr>
            <w:r w:rsidRPr="00EB2E3B">
              <w:t xml:space="preserve">Step 4: Officers determine from imagery the areas and facilities impacted by the incident, </w:t>
            </w:r>
            <w:r>
              <w:t xml:space="preserve">establish </w:t>
            </w:r>
            <w:r w:rsidR="00615B4E">
              <w:t xml:space="preserve">a </w:t>
            </w:r>
            <w:r>
              <w:t xml:space="preserve">perimeter, </w:t>
            </w:r>
            <w:r w:rsidRPr="00EB2E3B">
              <w:t>organize crowd control</w:t>
            </w:r>
            <w:r>
              <w:t>,</w:t>
            </w:r>
            <w:r w:rsidRPr="00EB2E3B">
              <w:t xml:space="preserve"> </w:t>
            </w:r>
            <w:r w:rsidR="00615B4E">
              <w:t xml:space="preserve">set up </w:t>
            </w:r>
            <w:r w:rsidRPr="00EB2E3B">
              <w:t>traffic diversion</w:t>
            </w:r>
            <w:r>
              <w:t xml:space="preserve">, and </w:t>
            </w:r>
            <w:r w:rsidR="00615B4E">
              <w:t xml:space="preserve">manage </w:t>
            </w:r>
            <w:r>
              <w:t>incident scene security</w:t>
            </w:r>
            <w:r w:rsidRPr="00EB2E3B">
              <w:t>.</w:t>
            </w:r>
          </w:p>
        </w:tc>
      </w:tr>
      <w:tr w:rsidR="00EF57FC" w:rsidRPr="00AE7AED" w14:paraId="41AC7E17" w14:textId="77777777" w:rsidTr="00167A93">
        <w:tc>
          <w:tcPr>
            <w:tcW w:w="9047" w:type="dxa"/>
            <w:gridSpan w:val="2"/>
            <w:shd w:val="clear" w:color="auto" w:fill="D9D9D9"/>
          </w:tcPr>
          <w:p w14:paraId="39B3CC2C" w14:textId="77777777" w:rsidR="00EF57FC" w:rsidRPr="00EB2E3B" w:rsidRDefault="00EF57FC" w:rsidP="00615B4E">
            <w:pPr>
              <w:pStyle w:val="Heading4"/>
              <w:numPr>
                <w:ilvl w:val="0"/>
                <w:numId w:val="0"/>
              </w:numPr>
            </w:pPr>
            <w:r w:rsidRPr="00EB2E3B">
              <w:t>Post Condition</w:t>
            </w:r>
          </w:p>
        </w:tc>
      </w:tr>
      <w:tr w:rsidR="00EF57FC" w:rsidRPr="00AE7AED" w14:paraId="44AED181" w14:textId="77777777" w:rsidTr="00167A93">
        <w:tc>
          <w:tcPr>
            <w:tcW w:w="9047" w:type="dxa"/>
            <w:gridSpan w:val="2"/>
            <w:tcBorders>
              <w:bottom w:val="single" w:sz="4" w:space="0" w:color="auto"/>
            </w:tcBorders>
          </w:tcPr>
          <w:p w14:paraId="116E047C" w14:textId="77777777" w:rsidR="00EF57FC" w:rsidRPr="00EB2E3B" w:rsidRDefault="00EF57FC">
            <w:pPr>
              <w:pStyle w:val="InfoBlue"/>
            </w:pPr>
            <w:r w:rsidRPr="00EB2E3B">
              <w:t>Incident area is secured and public order (re-) established</w:t>
            </w:r>
          </w:p>
        </w:tc>
      </w:tr>
      <w:tr w:rsidR="00EF57FC" w:rsidRPr="006628DD" w14:paraId="27335179" w14:textId="77777777" w:rsidTr="00167A93">
        <w:tc>
          <w:tcPr>
            <w:tcW w:w="9047" w:type="dxa"/>
            <w:gridSpan w:val="2"/>
            <w:shd w:val="clear" w:color="auto" w:fill="C0C0C0"/>
          </w:tcPr>
          <w:p w14:paraId="01A80E25" w14:textId="77777777" w:rsidR="00EF57FC" w:rsidRPr="00E53809" w:rsidRDefault="00EF57FC" w:rsidP="009A16A3">
            <w:pPr>
              <w:pStyle w:val="InfoBlue"/>
            </w:pPr>
            <w:r w:rsidRPr="00E53809">
              <w:t>Alternative Flow(s)</w:t>
            </w:r>
          </w:p>
        </w:tc>
      </w:tr>
      <w:tr w:rsidR="00EF57FC" w:rsidRPr="00AE7AED" w14:paraId="2481BCEB" w14:textId="77777777" w:rsidTr="00167A93">
        <w:tc>
          <w:tcPr>
            <w:tcW w:w="9047" w:type="dxa"/>
            <w:gridSpan w:val="2"/>
          </w:tcPr>
          <w:p w14:paraId="76C952FD" w14:textId="77777777" w:rsidR="00EF57FC" w:rsidRPr="00EB2E3B" w:rsidRDefault="00EF57FC" w:rsidP="00167A93">
            <w:pPr>
              <w:jc w:val="both"/>
              <w:outlineLvl w:val="3"/>
            </w:pPr>
            <w:r w:rsidRPr="00AE7AED">
              <w:t>Officers are able to initiate imagery search and tasking directly from the incident location</w:t>
            </w:r>
          </w:p>
        </w:tc>
      </w:tr>
    </w:tbl>
    <w:p w14:paraId="20394F20" w14:textId="77777777" w:rsidR="00EF57FC" w:rsidRDefault="00EF57FC" w:rsidP="00EF57FC">
      <w:pPr>
        <w:spacing w:before="80" w:after="80"/>
        <w:contextualSpacing/>
      </w:pPr>
      <w:r>
        <w:t xml:space="preserve"> </w:t>
      </w:r>
    </w:p>
    <w:p w14:paraId="293C1834" w14:textId="77777777" w:rsidR="00AB3C73" w:rsidRDefault="00AB3C73" w:rsidP="00EF57FC">
      <w:pPr>
        <w:spacing w:before="80" w:after="80"/>
        <w:contextualSpacing/>
      </w:pPr>
    </w:p>
    <w:p w14:paraId="017947FB" w14:textId="77777777" w:rsidR="00AB3C73" w:rsidRDefault="00AB3C73" w:rsidP="00EF57FC">
      <w:pPr>
        <w:spacing w:before="80" w:after="80"/>
        <w:contextualSpacing/>
      </w:pPr>
    </w:p>
    <w:p w14:paraId="24CB076E" w14:textId="77777777" w:rsidR="00AB3C73" w:rsidRDefault="00AB3C73" w:rsidP="00EF57FC">
      <w:pPr>
        <w:spacing w:before="80" w:after="80"/>
        <w:contextualSpacing/>
      </w:pPr>
    </w:p>
    <w:p w14:paraId="1BE8D6FD" w14:textId="77777777" w:rsidR="00AB3C73" w:rsidRDefault="00AB3C73" w:rsidP="00EF57FC">
      <w:pPr>
        <w:spacing w:before="80" w:after="80"/>
        <w:contextualSpacing/>
      </w:pPr>
    </w:p>
    <w:p w14:paraId="519D4A9A" w14:textId="77777777" w:rsidR="00EF57FC" w:rsidRDefault="00EF57FC" w:rsidP="00EF57FC">
      <w:pPr>
        <w:pStyle w:val="Heading4"/>
      </w:pPr>
      <w:r>
        <w:lastRenderedPageBreak/>
        <w:t xml:space="preserve">Use Case 2: Fire </w:t>
      </w: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139"/>
      </w:tblGrid>
      <w:tr w:rsidR="00EF57FC" w:rsidRPr="00AE7AED" w14:paraId="37955789" w14:textId="77777777" w:rsidTr="00EF57FC">
        <w:tc>
          <w:tcPr>
            <w:tcW w:w="9047" w:type="dxa"/>
            <w:gridSpan w:val="2"/>
            <w:shd w:val="clear" w:color="auto" w:fill="D9D9D9"/>
          </w:tcPr>
          <w:p w14:paraId="1A43D6D5" w14:textId="77777777" w:rsidR="00EF57FC" w:rsidRPr="00EB2E3B" w:rsidRDefault="00EF57FC" w:rsidP="00E53809">
            <w:pPr>
              <w:pStyle w:val="Heading4"/>
              <w:numPr>
                <w:ilvl w:val="0"/>
                <w:numId w:val="0"/>
              </w:numPr>
            </w:pPr>
            <w:r w:rsidRPr="00EB2E3B">
              <w:t>Overview</w:t>
            </w:r>
          </w:p>
        </w:tc>
      </w:tr>
      <w:tr w:rsidR="00EF57FC" w:rsidRPr="00AE7AED" w14:paraId="7EF9E5A1" w14:textId="77777777" w:rsidTr="00EF57FC">
        <w:tc>
          <w:tcPr>
            <w:tcW w:w="1908" w:type="dxa"/>
          </w:tcPr>
          <w:p w14:paraId="774BF869" w14:textId="77777777" w:rsidR="00EF57FC" w:rsidRPr="00AE7AED" w:rsidRDefault="00EF57FC" w:rsidP="00EF57FC">
            <w:pPr>
              <w:ind w:left="180"/>
              <w:rPr>
                <w:b/>
              </w:rPr>
            </w:pPr>
            <w:r w:rsidRPr="00AE7AED">
              <w:rPr>
                <w:b/>
              </w:rPr>
              <w:t>Title</w:t>
            </w:r>
          </w:p>
        </w:tc>
        <w:tc>
          <w:tcPr>
            <w:tcW w:w="7139" w:type="dxa"/>
          </w:tcPr>
          <w:p w14:paraId="3885C596" w14:textId="77777777" w:rsidR="00EF57FC" w:rsidRPr="00EB2E3B" w:rsidRDefault="00EF57FC" w:rsidP="009A16A3">
            <w:pPr>
              <w:pStyle w:val="InfoBlue"/>
            </w:pPr>
            <w:r w:rsidRPr="00EB2E3B">
              <w:t>Firefighter and Hazmat incident response</w:t>
            </w:r>
          </w:p>
        </w:tc>
      </w:tr>
      <w:tr w:rsidR="00EF57FC" w:rsidRPr="00AE7AED" w14:paraId="1A7F1ED1" w14:textId="77777777" w:rsidTr="00EF57FC">
        <w:tc>
          <w:tcPr>
            <w:tcW w:w="1908" w:type="dxa"/>
          </w:tcPr>
          <w:p w14:paraId="53EB3F08" w14:textId="77777777" w:rsidR="00EF57FC" w:rsidRPr="00AE7AED" w:rsidRDefault="00EF57FC" w:rsidP="00EF57FC">
            <w:pPr>
              <w:ind w:left="180"/>
              <w:rPr>
                <w:b/>
              </w:rPr>
            </w:pPr>
            <w:r w:rsidRPr="00AE7AED">
              <w:rPr>
                <w:b/>
              </w:rPr>
              <w:t>Description</w:t>
            </w:r>
          </w:p>
        </w:tc>
        <w:tc>
          <w:tcPr>
            <w:tcW w:w="7139" w:type="dxa"/>
          </w:tcPr>
          <w:p w14:paraId="02DE0554" w14:textId="77777777" w:rsidR="00EF57FC" w:rsidRPr="002F5BC6" w:rsidRDefault="00EF57FC" w:rsidP="009A16A3">
            <w:pPr>
              <w:pStyle w:val="InfoBlue"/>
              <w:ind w:left="0" w:firstLine="0"/>
              <w:jc w:val="left"/>
              <w:rPr>
                <w:rFonts w:asciiTheme="majorHAnsi" w:hAnsiTheme="majorHAnsi"/>
              </w:rPr>
            </w:pPr>
            <w:r w:rsidRPr="00524C4D">
              <w:t xml:space="preserve">Firefighters and Hazmat teams focus on immediate incident hazards including </w:t>
            </w:r>
            <w:r>
              <w:t xml:space="preserve">downed power line, </w:t>
            </w:r>
            <w:r w:rsidRPr="00524C4D">
              <w:t>fire</w:t>
            </w:r>
            <w:r>
              <w:t>(s)</w:t>
            </w:r>
            <w:r w:rsidRPr="00524C4D">
              <w:t xml:space="preserve">, fuel spill and toxic substance release. Hazmat responders especially have responsibility for </w:t>
            </w:r>
            <w:r>
              <w:t xml:space="preserve">containment and </w:t>
            </w:r>
            <w:r w:rsidRPr="00524C4D">
              <w:t>determining the extent and nature of public and environmental health threats through a combination of observation, environmental sensing, and sampling.</w:t>
            </w:r>
          </w:p>
        </w:tc>
      </w:tr>
      <w:tr w:rsidR="00EF57FC" w:rsidRPr="00AE7AED" w14:paraId="6E287914" w14:textId="77777777" w:rsidTr="00EF57FC">
        <w:tc>
          <w:tcPr>
            <w:tcW w:w="1908" w:type="dxa"/>
          </w:tcPr>
          <w:p w14:paraId="19CDED5B" w14:textId="77777777" w:rsidR="00EF57FC" w:rsidRPr="00AE7AED" w:rsidRDefault="00EF57FC" w:rsidP="00EF57FC">
            <w:pPr>
              <w:ind w:left="180"/>
              <w:rPr>
                <w:b/>
              </w:rPr>
            </w:pPr>
            <w:r w:rsidRPr="00AE7AED">
              <w:rPr>
                <w:b/>
              </w:rPr>
              <w:t>Actors and Interfaces</w:t>
            </w:r>
          </w:p>
        </w:tc>
        <w:tc>
          <w:tcPr>
            <w:tcW w:w="7139" w:type="dxa"/>
          </w:tcPr>
          <w:p w14:paraId="0C1773BC" w14:textId="77777777" w:rsidR="00EF57FC" w:rsidRPr="00E53809" w:rsidRDefault="00EF57FC">
            <w:pPr>
              <w:pStyle w:val="InfoBlue"/>
              <w:numPr>
                <w:ilvl w:val="0"/>
                <w:numId w:val="80"/>
              </w:numPr>
            </w:pPr>
            <w:r w:rsidRPr="00E53809">
              <w:t>Firefighter</w:t>
            </w:r>
          </w:p>
          <w:p w14:paraId="7ABFA532" w14:textId="77777777" w:rsidR="00EF57FC" w:rsidRPr="00E53809" w:rsidRDefault="00EF57FC" w:rsidP="00E53809">
            <w:pPr>
              <w:pStyle w:val="BodyText"/>
              <w:numPr>
                <w:ilvl w:val="0"/>
                <w:numId w:val="80"/>
              </w:numPr>
              <w:spacing w:after="40"/>
              <w:rPr>
                <w:rFonts w:ascii="Arial" w:hAnsi="Arial"/>
                <w:i/>
                <w:szCs w:val="22"/>
              </w:rPr>
            </w:pPr>
            <w:r w:rsidRPr="00E53809">
              <w:rPr>
                <w:szCs w:val="22"/>
              </w:rPr>
              <w:t>Hazmat responder</w:t>
            </w:r>
          </w:p>
          <w:p w14:paraId="25316E52" w14:textId="77777777" w:rsidR="00EF57FC" w:rsidRPr="00E53809" w:rsidRDefault="00EF57FC" w:rsidP="00E53809">
            <w:pPr>
              <w:pStyle w:val="BodyText"/>
              <w:numPr>
                <w:ilvl w:val="0"/>
                <w:numId w:val="80"/>
              </w:numPr>
              <w:spacing w:after="40"/>
              <w:rPr>
                <w:rFonts w:ascii="Arial" w:hAnsi="Arial"/>
                <w:i/>
                <w:szCs w:val="22"/>
              </w:rPr>
            </w:pPr>
            <w:r w:rsidRPr="00E53809">
              <w:rPr>
                <w:szCs w:val="22"/>
              </w:rPr>
              <w:t>Incident scene commander</w:t>
            </w:r>
          </w:p>
          <w:p w14:paraId="7461FCB4" w14:textId="77777777" w:rsidR="00EF57FC" w:rsidRPr="00E53809" w:rsidRDefault="00EF57FC" w:rsidP="00E53809">
            <w:pPr>
              <w:pStyle w:val="BodyText"/>
              <w:numPr>
                <w:ilvl w:val="0"/>
                <w:numId w:val="80"/>
              </w:numPr>
              <w:spacing w:after="40"/>
              <w:rPr>
                <w:szCs w:val="22"/>
              </w:rPr>
            </w:pPr>
            <w:r w:rsidRPr="00E53809">
              <w:rPr>
                <w:szCs w:val="22"/>
              </w:rPr>
              <w:t>Instrumentation specialist</w:t>
            </w:r>
          </w:p>
        </w:tc>
      </w:tr>
      <w:tr w:rsidR="00EF57FC" w:rsidRPr="00AE7AED" w14:paraId="3AD92594" w14:textId="77777777" w:rsidTr="00EF57FC">
        <w:tc>
          <w:tcPr>
            <w:tcW w:w="1908" w:type="dxa"/>
          </w:tcPr>
          <w:p w14:paraId="21B9DF7D" w14:textId="77777777" w:rsidR="00EF57FC" w:rsidRPr="00AE7AED" w:rsidRDefault="00EF57FC" w:rsidP="00EF57FC">
            <w:pPr>
              <w:ind w:left="180"/>
              <w:rPr>
                <w:b/>
              </w:rPr>
            </w:pPr>
            <w:r w:rsidRPr="00AE7AED">
              <w:rPr>
                <w:b/>
              </w:rPr>
              <w:t>Initial Status and Preconditions</w:t>
            </w:r>
          </w:p>
        </w:tc>
        <w:tc>
          <w:tcPr>
            <w:tcW w:w="7139" w:type="dxa"/>
          </w:tcPr>
          <w:p w14:paraId="72BF958D" w14:textId="77777777" w:rsidR="00EF57FC" w:rsidRPr="00EB2E3B" w:rsidRDefault="00EF57FC" w:rsidP="00EF57FC">
            <w:pPr>
              <w:pStyle w:val="Heading4"/>
              <w:numPr>
                <w:ilvl w:val="0"/>
                <w:numId w:val="0"/>
              </w:numPr>
            </w:pPr>
            <w:r w:rsidRPr="0013744F">
              <w:rPr>
                <w:rFonts w:ascii="Times New Roman" w:hAnsi="Times New Roman"/>
                <w:i w:val="0"/>
                <w:noProof w:val="0"/>
                <w:szCs w:val="20"/>
              </w:rPr>
              <w:t xml:space="preserve">Firefighters have been called by the </w:t>
            </w:r>
            <w:r>
              <w:rPr>
                <w:rFonts w:ascii="Times New Roman" w:hAnsi="Times New Roman"/>
                <w:i w:val="0"/>
                <w:noProof w:val="0"/>
                <w:szCs w:val="20"/>
              </w:rPr>
              <w:t xml:space="preserve">on-scene police </w:t>
            </w:r>
            <w:r w:rsidRPr="0013744F">
              <w:rPr>
                <w:rFonts w:ascii="Times New Roman" w:hAnsi="Times New Roman"/>
                <w:i w:val="0"/>
                <w:noProof w:val="0"/>
                <w:szCs w:val="20"/>
              </w:rPr>
              <w:t>officers / dispatcher</w:t>
            </w:r>
          </w:p>
        </w:tc>
      </w:tr>
      <w:tr w:rsidR="00EF57FC" w:rsidRPr="00AE7AED" w14:paraId="48E7AD4B" w14:textId="77777777" w:rsidTr="00EF57FC">
        <w:tc>
          <w:tcPr>
            <w:tcW w:w="9047" w:type="dxa"/>
            <w:gridSpan w:val="2"/>
            <w:shd w:val="clear" w:color="auto" w:fill="D9D9D9"/>
          </w:tcPr>
          <w:p w14:paraId="37837336" w14:textId="77777777" w:rsidR="00EF57FC" w:rsidRPr="00EB2E3B" w:rsidRDefault="00EF57FC" w:rsidP="00E53809">
            <w:pPr>
              <w:pStyle w:val="Heading4"/>
              <w:numPr>
                <w:ilvl w:val="0"/>
                <w:numId w:val="0"/>
              </w:numPr>
            </w:pPr>
            <w:r w:rsidRPr="00EB2E3B">
              <w:t>Basic Flow</w:t>
            </w:r>
          </w:p>
        </w:tc>
      </w:tr>
      <w:tr w:rsidR="00EF57FC" w:rsidRPr="00AE7AED" w14:paraId="6903BE34" w14:textId="77777777" w:rsidTr="00EF57FC">
        <w:tc>
          <w:tcPr>
            <w:tcW w:w="9047" w:type="dxa"/>
            <w:gridSpan w:val="2"/>
          </w:tcPr>
          <w:p w14:paraId="7AEFE571" w14:textId="1217BBE1" w:rsidR="00EF57FC" w:rsidRPr="00EB2E3B" w:rsidRDefault="00EF57FC" w:rsidP="00167A93">
            <w:pPr>
              <w:pStyle w:val="InfoBlue"/>
              <w:jc w:val="left"/>
            </w:pPr>
            <w:r w:rsidRPr="00EB2E3B">
              <w:t xml:space="preserve">Step 1: Firefighters connect with police at the scene and establish </w:t>
            </w:r>
            <w:r>
              <w:t xml:space="preserve">command post and </w:t>
            </w:r>
            <w:r w:rsidRPr="00EB2E3B">
              <w:t xml:space="preserve">initial action priorities. </w:t>
            </w:r>
            <w:r w:rsidR="002B0BF4">
              <w:t>Highest-ranking</w:t>
            </w:r>
            <w:r>
              <w:t xml:space="preserve"> fire officer assumes command and identifies command post location.  Police send liaison officer to command post. </w:t>
            </w:r>
          </w:p>
          <w:p w14:paraId="60422007" w14:textId="77777777" w:rsidR="00EF57FC" w:rsidRPr="00EB2E3B" w:rsidRDefault="00EF57FC" w:rsidP="00167A93">
            <w:pPr>
              <w:pStyle w:val="InfoBlue"/>
              <w:jc w:val="left"/>
            </w:pPr>
            <w:r w:rsidRPr="00EB2E3B">
              <w:t xml:space="preserve">Step 2: Firefighters note safety issues (e.g. </w:t>
            </w:r>
            <w:r>
              <w:t xml:space="preserve">downed power line, fire[s], and </w:t>
            </w:r>
            <w:r w:rsidRPr="00EB2E3B">
              <w:t>tanker truck accident) and call for a Hazmat team</w:t>
            </w:r>
          </w:p>
          <w:p w14:paraId="63D38FAC" w14:textId="4FC69E67" w:rsidR="00EF57FC" w:rsidRPr="00EB2E3B" w:rsidRDefault="00EF57FC" w:rsidP="00167A93">
            <w:pPr>
              <w:pStyle w:val="InfoBlue"/>
              <w:jc w:val="left"/>
            </w:pPr>
            <w:r w:rsidRPr="00EB2E3B">
              <w:t>Step 3: Firefighters make use of wearable sensors to protect their health and safety, as well as provide information to the Hazmat team and emergency medical responders, while they proceed to rescue accident victims</w:t>
            </w:r>
            <w:r>
              <w:t>, isolate the downed power line</w:t>
            </w:r>
            <w:r w:rsidR="00A10FA9">
              <w:t>,</w:t>
            </w:r>
            <w:r w:rsidR="00A10FA9" w:rsidRPr="00EB2E3B">
              <w:t xml:space="preserve"> bring</w:t>
            </w:r>
            <w:r w:rsidRPr="00EB2E3B">
              <w:t xml:space="preserve"> vehicle fires under control</w:t>
            </w:r>
            <w:r>
              <w:t>, and begin containment procedures on the cargo spill.</w:t>
            </w:r>
          </w:p>
          <w:p w14:paraId="463B9F3D" w14:textId="77777777" w:rsidR="00EF57FC" w:rsidRPr="00EB2E3B" w:rsidRDefault="00EF57FC" w:rsidP="00167A93">
            <w:pPr>
              <w:pStyle w:val="InfoBlue"/>
              <w:jc w:val="left"/>
            </w:pPr>
            <w:r w:rsidRPr="00EB2E3B">
              <w:t>Step 4: Hazmat team arrives at the scene and evaluates the hazardous material situation (truck cargo, fire plume</w:t>
            </w:r>
            <w:r>
              <w:t>, spill travel</w:t>
            </w:r>
            <w:r w:rsidRPr="00EB2E3B">
              <w:t xml:space="preserve">) with portable analyzers, as well as access to police imagery and firefighter wearable sensor telemetry. </w:t>
            </w:r>
          </w:p>
          <w:p w14:paraId="7858B442" w14:textId="77777777" w:rsidR="00EF57FC" w:rsidRPr="00E53809" w:rsidRDefault="00EF57FC">
            <w:pPr>
              <w:pStyle w:val="BodyText"/>
              <w:ind w:left="558" w:hanging="558"/>
              <w:rPr>
                <w:rFonts w:ascii="Arial" w:hAnsi="Arial"/>
                <w:i/>
                <w:szCs w:val="22"/>
              </w:rPr>
            </w:pPr>
            <w:r w:rsidRPr="00E53809">
              <w:rPr>
                <w:szCs w:val="22"/>
              </w:rPr>
              <w:t>Step 5: Hazmat team determines an initial incident perimeters (Hot, Warm, and Cold Zones) based on the situation and deploys portable sensors around the perimeter to provide warning of any contaminant migration.</w:t>
            </w:r>
          </w:p>
          <w:p w14:paraId="7E0844A7" w14:textId="5BFAEC3E" w:rsidR="00EF57FC" w:rsidRPr="00E53809" w:rsidRDefault="00EF57FC">
            <w:pPr>
              <w:pStyle w:val="BodyText"/>
              <w:ind w:left="558" w:hanging="558"/>
              <w:rPr>
                <w:rFonts w:ascii="Arial" w:hAnsi="Arial"/>
                <w:i/>
                <w:szCs w:val="22"/>
              </w:rPr>
            </w:pPr>
            <w:r w:rsidRPr="00E53809">
              <w:rPr>
                <w:szCs w:val="22"/>
              </w:rPr>
              <w:t>Step 6: Incident commander determines priorities and responsibilities of action, as well as protective equipment requirements, based on Hazmat (and EM</w:t>
            </w:r>
            <w:r w:rsidR="00E53809">
              <w:rPr>
                <w:szCs w:val="22"/>
              </w:rPr>
              <w:t>S</w:t>
            </w:r>
            <w:r w:rsidRPr="00E53809">
              <w:rPr>
                <w:szCs w:val="22"/>
              </w:rPr>
              <w:t xml:space="preserve"> evaluation.</w:t>
            </w:r>
          </w:p>
          <w:p w14:paraId="1E3EC477" w14:textId="77777777" w:rsidR="00EF57FC" w:rsidRPr="00AB03CC" w:rsidRDefault="00EF57FC">
            <w:pPr>
              <w:pStyle w:val="BodyText"/>
              <w:ind w:left="558" w:hanging="558"/>
              <w:rPr>
                <w:rFonts w:ascii="Arial" w:hAnsi="Arial"/>
                <w:i/>
                <w:szCs w:val="22"/>
              </w:rPr>
            </w:pPr>
            <w:r w:rsidRPr="00E53809">
              <w:rPr>
                <w:szCs w:val="22"/>
              </w:rPr>
              <w:t>Step 7: Firefighter / Hazmat team rescues accident victims, brings vehicle fires under control, and contains material hazards.</w:t>
            </w:r>
          </w:p>
        </w:tc>
      </w:tr>
      <w:tr w:rsidR="00EF57FC" w:rsidRPr="00AE7AED" w14:paraId="7DA09DCC" w14:textId="77777777" w:rsidTr="00EF57FC">
        <w:tc>
          <w:tcPr>
            <w:tcW w:w="9047" w:type="dxa"/>
            <w:gridSpan w:val="2"/>
            <w:shd w:val="clear" w:color="auto" w:fill="D9D9D9"/>
          </w:tcPr>
          <w:p w14:paraId="4FA4BAD7" w14:textId="77777777" w:rsidR="00EF57FC" w:rsidRPr="00EB2E3B" w:rsidRDefault="00EF57FC" w:rsidP="00E53809">
            <w:pPr>
              <w:pStyle w:val="Heading4"/>
              <w:numPr>
                <w:ilvl w:val="0"/>
                <w:numId w:val="0"/>
              </w:numPr>
            </w:pPr>
            <w:r w:rsidRPr="00EB2E3B">
              <w:t>Post Condition</w:t>
            </w:r>
          </w:p>
        </w:tc>
      </w:tr>
      <w:tr w:rsidR="00EF57FC" w:rsidRPr="00AE7AED" w14:paraId="4AFF04D9" w14:textId="77777777" w:rsidTr="00E53809">
        <w:tc>
          <w:tcPr>
            <w:tcW w:w="9047" w:type="dxa"/>
            <w:gridSpan w:val="2"/>
            <w:tcBorders>
              <w:bottom w:val="single" w:sz="4" w:space="0" w:color="auto"/>
            </w:tcBorders>
          </w:tcPr>
          <w:p w14:paraId="15D29732" w14:textId="77777777" w:rsidR="00EF57FC" w:rsidRPr="00EB2E3B" w:rsidRDefault="00EF57FC" w:rsidP="00E53809">
            <w:r w:rsidRPr="00EB2E3B">
              <w:t>Incident impact on public health and safety is mitigated</w:t>
            </w:r>
          </w:p>
        </w:tc>
      </w:tr>
      <w:tr w:rsidR="00EF57FC" w:rsidRPr="00AE7AED" w14:paraId="5A2B8902" w14:textId="77777777" w:rsidTr="00E53809">
        <w:tc>
          <w:tcPr>
            <w:tcW w:w="9047" w:type="dxa"/>
            <w:gridSpan w:val="2"/>
            <w:shd w:val="clear" w:color="auto" w:fill="CCCCCC"/>
          </w:tcPr>
          <w:p w14:paraId="3469CEB3" w14:textId="77777777" w:rsidR="00EF57FC" w:rsidRPr="00EB2E3B" w:rsidRDefault="00EF57FC" w:rsidP="00E53809">
            <w:pPr>
              <w:pStyle w:val="Heading4"/>
              <w:numPr>
                <w:ilvl w:val="0"/>
                <w:numId w:val="0"/>
              </w:numPr>
            </w:pPr>
            <w:r w:rsidRPr="00EB2E3B">
              <w:t>Alternative Flow(s)</w:t>
            </w:r>
          </w:p>
        </w:tc>
      </w:tr>
      <w:tr w:rsidR="00EF57FC" w:rsidRPr="00AE7AED" w14:paraId="0DCC1E37" w14:textId="77777777" w:rsidTr="00EF57FC">
        <w:tc>
          <w:tcPr>
            <w:tcW w:w="9047" w:type="dxa"/>
            <w:gridSpan w:val="2"/>
          </w:tcPr>
          <w:p w14:paraId="533405B7" w14:textId="77777777" w:rsidR="00EF57FC" w:rsidRPr="00EB2E3B" w:rsidRDefault="00EF57FC" w:rsidP="00E53809">
            <w:pPr>
              <w:tabs>
                <w:tab w:val="left" w:pos="1454"/>
              </w:tabs>
              <w:jc w:val="both"/>
              <w:outlineLvl w:val="3"/>
            </w:pPr>
            <w:r w:rsidRPr="00AE7AED">
              <w:t xml:space="preserve">Hazmat responders act on (sensor) evidence of contaminant migration beyond the incident </w:t>
            </w:r>
            <w:r w:rsidRPr="00AE7AED">
              <w:lastRenderedPageBreak/>
              <w:t>perimeter and extend their material containment activities</w:t>
            </w:r>
          </w:p>
        </w:tc>
      </w:tr>
    </w:tbl>
    <w:p w14:paraId="6AAFEA90" w14:textId="77777777" w:rsidR="00EF57FC" w:rsidRDefault="00EF57FC" w:rsidP="00EF57FC">
      <w:pPr>
        <w:spacing w:before="80" w:after="80"/>
        <w:contextualSpacing/>
      </w:pPr>
      <w:r>
        <w:lastRenderedPageBreak/>
        <w:t xml:space="preserve"> </w:t>
      </w:r>
    </w:p>
    <w:p w14:paraId="79C67432" w14:textId="77777777" w:rsidR="00EF57FC" w:rsidRDefault="00EF57FC" w:rsidP="00EF57FC">
      <w:pPr>
        <w:spacing w:before="80" w:after="80"/>
        <w:contextualSpacing/>
      </w:pPr>
    </w:p>
    <w:p w14:paraId="4D6492DB" w14:textId="77777777" w:rsidR="00EF57FC" w:rsidRDefault="00EF57FC" w:rsidP="00EF57FC">
      <w:pPr>
        <w:pStyle w:val="Heading4"/>
      </w:pPr>
      <w:r>
        <w:t>Use Case 3: Emergency Medical</w:t>
      </w: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139"/>
      </w:tblGrid>
      <w:tr w:rsidR="00EF57FC" w:rsidRPr="00AE7AED" w14:paraId="34E9CF50" w14:textId="77777777" w:rsidTr="00167A93">
        <w:tc>
          <w:tcPr>
            <w:tcW w:w="9047" w:type="dxa"/>
            <w:gridSpan w:val="2"/>
            <w:shd w:val="clear" w:color="auto" w:fill="D9D9D9"/>
          </w:tcPr>
          <w:p w14:paraId="2662BC98" w14:textId="77777777" w:rsidR="00EF57FC" w:rsidRPr="00EB2E3B" w:rsidRDefault="00EF57FC" w:rsidP="00E53809">
            <w:pPr>
              <w:pStyle w:val="Heading4"/>
              <w:numPr>
                <w:ilvl w:val="0"/>
                <w:numId w:val="0"/>
              </w:numPr>
            </w:pPr>
            <w:r w:rsidRPr="00EB2E3B">
              <w:t>Overview</w:t>
            </w:r>
          </w:p>
        </w:tc>
      </w:tr>
      <w:tr w:rsidR="00EF57FC" w:rsidRPr="00AE7AED" w14:paraId="19F73466" w14:textId="77777777" w:rsidTr="00167A93">
        <w:tc>
          <w:tcPr>
            <w:tcW w:w="1908" w:type="dxa"/>
          </w:tcPr>
          <w:p w14:paraId="08C2FD78" w14:textId="77777777" w:rsidR="00EF57FC" w:rsidRPr="00AE7AED" w:rsidRDefault="00EF57FC" w:rsidP="00EF57FC">
            <w:pPr>
              <w:ind w:left="180"/>
              <w:rPr>
                <w:b/>
              </w:rPr>
            </w:pPr>
            <w:r w:rsidRPr="00AE7AED">
              <w:rPr>
                <w:b/>
              </w:rPr>
              <w:t>Title</w:t>
            </w:r>
          </w:p>
        </w:tc>
        <w:tc>
          <w:tcPr>
            <w:tcW w:w="7139" w:type="dxa"/>
          </w:tcPr>
          <w:p w14:paraId="3B828A0F" w14:textId="77777777" w:rsidR="00EF57FC" w:rsidRPr="00FF35C8" w:rsidRDefault="00EF57FC" w:rsidP="00E53809">
            <w:pPr>
              <w:pStyle w:val="Heading4"/>
              <w:numPr>
                <w:ilvl w:val="0"/>
                <w:numId w:val="0"/>
              </w:numPr>
              <w:rPr>
                <w:rFonts w:ascii="Times New Roman" w:hAnsi="Times New Roman"/>
                <w:i w:val="0"/>
              </w:rPr>
            </w:pPr>
            <w:r w:rsidRPr="00FF35C8">
              <w:rPr>
                <w:rFonts w:ascii="Times New Roman" w:hAnsi="Times New Roman"/>
                <w:i w:val="0"/>
              </w:rPr>
              <w:t>Emergency medical incident response</w:t>
            </w:r>
          </w:p>
        </w:tc>
      </w:tr>
      <w:tr w:rsidR="00EF57FC" w:rsidRPr="00AE7AED" w14:paraId="24E46165" w14:textId="77777777" w:rsidTr="00167A93">
        <w:tc>
          <w:tcPr>
            <w:tcW w:w="1908" w:type="dxa"/>
          </w:tcPr>
          <w:p w14:paraId="3BA1E374" w14:textId="77777777" w:rsidR="00EF57FC" w:rsidRPr="00AE7AED" w:rsidRDefault="00EF57FC" w:rsidP="00EF57FC">
            <w:pPr>
              <w:ind w:left="180"/>
              <w:rPr>
                <w:b/>
              </w:rPr>
            </w:pPr>
            <w:r w:rsidRPr="00AE7AED">
              <w:rPr>
                <w:b/>
              </w:rPr>
              <w:t>Description</w:t>
            </w:r>
          </w:p>
        </w:tc>
        <w:tc>
          <w:tcPr>
            <w:tcW w:w="7139" w:type="dxa"/>
          </w:tcPr>
          <w:p w14:paraId="4C9FAE09" w14:textId="77777777" w:rsidR="00EF57FC" w:rsidRPr="00FF35C8" w:rsidRDefault="00EF57FC" w:rsidP="00167A93">
            <w:pPr>
              <w:pStyle w:val="Heading4"/>
              <w:numPr>
                <w:ilvl w:val="0"/>
                <w:numId w:val="0"/>
              </w:numPr>
              <w:jc w:val="left"/>
              <w:rPr>
                <w:rFonts w:ascii="Times New Roman" w:hAnsi="Times New Roman"/>
                <w:i w:val="0"/>
              </w:rPr>
            </w:pPr>
            <w:r w:rsidRPr="00FF35C8">
              <w:rPr>
                <w:rFonts w:ascii="Times New Roman" w:hAnsi="Times New Roman"/>
                <w:i w:val="0"/>
              </w:rPr>
              <w:t>Emergency medical responders focus on treating injuries incurred by incident victims and other responders. They will also responsible for triage, routing victims to medical facilities, and monitoring the health of fellow responders with body-worn physiological sensors</w:t>
            </w:r>
          </w:p>
        </w:tc>
      </w:tr>
      <w:tr w:rsidR="00EF57FC" w:rsidRPr="00AE7AED" w14:paraId="2DE4E891" w14:textId="77777777" w:rsidTr="00167A93">
        <w:tc>
          <w:tcPr>
            <w:tcW w:w="1908" w:type="dxa"/>
          </w:tcPr>
          <w:p w14:paraId="6879162A" w14:textId="77777777" w:rsidR="00EF57FC" w:rsidRPr="00AE7AED" w:rsidRDefault="00EF57FC" w:rsidP="00EF57FC">
            <w:pPr>
              <w:ind w:left="180"/>
              <w:rPr>
                <w:b/>
              </w:rPr>
            </w:pPr>
            <w:r w:rsidRPr="00AE7AED">
              <w:rPr>
                <w:b/>
              </w:rPr>
              <w:t>Actors and Interfaces</w:t>
            </w:r>
          </w:p>
        </w:tc>
        <w:tc>
          <w:tcPr>
            <w:tcW w:w="7139" w:type="dxa"/>
          </w:tcPr>
          <w:p w14:paraId="08542520" w14:textId="77777777" w:rsidR="00EF57FC" w:rsidRPr="00EB2E3B" w:rsidRDefault="00EF57FC">
            <w:pPr>
              <w:pStyle w:val="InfoBlue"/>
              <w:numPr>
                <w:ilvl w:val="0"/>
                <w:numId w:val="81"/>
              </w:numPr>
            </w:pPr>
            <w:r w:rsidRPr="00EB2E3B">
              <w:t>EMT</w:t>
            </w:r>
          </w:p>
          <w:p w14:paraId="1F20E444" w14:textId="77777777" w:rsidR="00EF57FC" w:rsidRPr="00AE7AED" w:rsidRDefault="00EF57FC" w:rsidP="00E53809">
            <w:pPr>
              <w:pStyle w:val="BodyText"/>
              <w:numPr>
                <w:ilvl w:val="0"/>
                <w:numId w:val="81"/>
              </w:numPr>
              <w:spacing w:after="40"/>
              <w:rPr>
                <w:rFonts w:ascii="Arial" w:hAnsi="Arial"/>
                <w:i/>
                <w:szCs w:val="22"/>
              </w:rPr>
            </w:pPr>
            <w:r w:rsidRPr="00AE7AED">
              <w:t>Dispatcher</w:t>
            </w:r>
          </w:p>
          <w:p w14:paraId="4BE1BB8D" w14:textId="77777777" w:rsidR="00EF57FC" w:rsidRPr="00AE7AED" w:rsidRDefault="00EF57FC" w:rsidP="00E53809">
            <w:pPr>
              <w:pStyle w:val="BodyText"/>
              <w:numPr>
                <w:ilvl w:val="0"/>
                <w:numId w:val="81"/>
              </w:numPr>
              <w:spacing w:after="40"/>
              <w:rPr>
                <w:rFonts w:ascii="Arial" w:hAnsi="Arial"/>
                <w:i/>
                <w:szCs w:val="22"/>
              </w:rPr>
            </w:pPr>
            <w:r w:rsidRPr="00AE7AED">
              <w:t>ER doctor / nurse</w:t>
            </w:r>
          </w:p>
        </w:tc>
      </w:tr>
      <w:tr w:rsidR="00EF57FC" w:rsidRPr="00AE7AED" w14:paraId="7BBC09DB" w14:textId="77777777" w:rsidTr="00167A93">
        <w:tc>
          <w:tcPr>
            <w:tcW w:w="1908" w:type="dxa"/>
          </w:tcPr>
          <w:p w14:paraId="41BABC12" w14:textId="77777777" w:rsidR="00EF57FC" w:rsidRPr="00AE7AED" w:rsidRDefault="00EF57FC" w:rsidP="00EF57FC">
            <w:pPr>
              <w:ind w:left="180"/>
              <w:rPr>
                <w:b/>
              </w:rPr>
            </w:pPr>
            <w:r w:rsidRPr="00AE7AED">
              <w:rPr>
                <w:b/>
              </w:rPr>
              <w:t>Initial Status and Preconditions</w:t>
            </w:r>
          </w:p>
        </w:tc>
        <w:tc>
          <w:tcPr>
            <w:tcW w:w="7139" w:type="dxa"/>
          </w:tcPr>
          <w:p w14:paraId="33CDDDA0" w14:textId="77777777" w:rsidR="00EF57FC" w:rsidRPr="00FF35C8" w:rsidRDefault="00EF57FC" w:rsidP="008D01DE">
            <w:pPr>
              <w:pStyle w:val="Heading4"/>
              <w:numPr>
                <w:ilvl w:val="0"/>
                <w:numId w:val="0"/>
              </w:numPr>
              <w:jc w:val="left"/>
              <w:rPr>
                <w:rFonts w:ascii="Times New Roman" w:hAnsi="Times New Roman"/>
                <w:i w:val="0"/>
              </w:rPr>
            </w:pPr>
            <w:r w:rsidRPr="00FF35C8">
              <w:rPr>
                <w:rFonts w:ascii="Times New Roman" w:hAnsi="Times New Roman"/>
                <w:i w:val="0"/>
              </w:rPr>
              <w:t>Ambulance arrives at incident scene following police and firefighters</w:t>
            </w:r>
          </w:p>
        </w:tc>
      </w:tr>
      <w:tr w:rsidR="00EF57FC" w:rsidRPr="00AE7AED" w14:paraId="750F2BC3" w14:textId="77777777" w:rsidTr="00167A93">
        <w:tc>
          <w:tcPr>
            <w:tcW w:w="9047" w:type="dxa"/>
            <w:gridSpan w:val="2"/>
            <w:shd w:val="clear" w:color="auto" w:fill="D9D9D9"/>
          </w:tcPr>
          <w:p w14:paraId="77D30261" w14:textId="77777777" w:rsidR="00EF57FC" w:rsidRPr="00EB2E3B" w:rsidRDefault="00EF57FC" w:rsidP="008D01DE">
            <w:pPr>
              <w:pStyle w:val="Heading4"/>
              <w:numPr>
                <w:ilvl w:val="0"/>
                <w:numId w:val="0"/>
              </w:numPr>
            </w:pPr>
            <w:r w:rsidRPr="00EB2E3B">
              <w:t>Basic Flow</w:t>
            </w:r>
          </w:p>
        </w:tc>
      </w:tr>
      <w:tr w:rsidR="00EF57FC" w:rsidRPr="00AE7AED" w14:paraId="54C82B87" w14:textId="77777777" w:rsidTr="00167A93">
        <w:tc>
          <w:tcPr>
            <w:tcW w:w="9047" w:type="dxa"/>
            <w:gridSpan w:val="2"/>
          </w:tcPr>
          <w:p w14:paraId="620EC0AA" w14:textId="77777777" w:rsidR="00EF57FC" w:rsidRPr="00EB2E3B" w:rsidRDefault="00EF57FC" w:rsidP="00167A93">
            <w:pPr>
              <w:pStyle w:val="InfoBlue"/>
              <w:jc w:val="left"/>
            </w:pPr>
            <w:r w:rsidRPr="00EB2E3B">
              <w:t xml:space="preserve">Step 1: EMT’s check in with </w:t>
            </w:r>
            <w:r>
              <w:t>Incident</w:t>
            </w:r>
            <w:r w:rsidRPr="00EB2E3B">
              <w:t xml:space="preserve"> </w:t>
            </w:r>
            <w:r>
              <w:t>C</w:t>
            </w:r>
            <w:r w:rsidRPr="00EB2E3B">
              <w:t>ommander</w:t>
            </w:r>
            <w:r>
              <w:t>, establish EMS Command at the Fire Command post,</w:t>
            </w:r>
            <w:r w:rsidRPr="00EB2E3B">
              <w:t xml:space="preserve"> and initiate victim medical treatment and triage based on initial firefighter evaluations and action priorities. </w:t>
            </w:r>
          </w:p>
          <w:p w14:paraId="6B021817" w14:textId="473327AA" w:rsidR="00EF57FC" w:rsidRPr="00EB2E3B" w:rsidRDefault="00EF57FC" w:rsidP="00167A93">
            <w:pPr>
              <w:pStyle w:val="InfoBlue"/>
              <w:jc w:val="left"/>
            </w:pPr>
            <w:r w:rsidRPr="00EB2E3B">
              <w:t>Step 2: EMT’s transmit condition and treatment reports to the EM dispatcher</w:t>
            </w:r>
            <w:r w:rsidR="00E53809">
              <w:t xml:space="preserve"> or control hospital contact</w:t>
            </w:r>
            <w:r w:rsidRPr="00EB2E3B">
              <w:t>, who alerts the appropriate ER’s and plans victim transport</w:t>
            </w:r>
          </w:p>
          <w:p w14:paraId="4A631E7E" w14:textId="77777777" w:rsidR="00EF57FC" w:rsidRPr="00EB2E3B" w:rsidRDefault="00EF57FC" w:rsidP="00167A93">
            <w:pPr>
              <w:pStyle w:val="InfoBlue"/>
              <w:jc w:val="left"/>
            </w:pPr>
            <w:r w:rsidRPr="00EB2E3B">
              <w:t>Step 3: EMT’s begin monitoring of accident victims with portable and/or wearable sensors and begin transmitting observations for evaluation by the receiving ER personnel.</w:t>
            </w:r>
          </w:p>
          <w:p w14:paraId="5795B697" w14:textId="26DA8CC5" w:rsidR="00EF57FC" w:rsidRPr="00EB2E3B" w:rsidRDefault="00EF57FC" w:rsidP="00167A93">
            <w:pPr>
              <w:pStyle w:val="InfoBlue"/>
              <w:jc w:val="left"/>
            </w:pPr>
            <w:r w:rsidRPr="00EB2E3B">
              <w:t xml:space="preserve">Step 4: Based on established practices and evaluation of the incident conditions, EMT’s establish alert thresholds (e.g. </w:t>
            </w:r>
            <w:r w:rsidR="00A10FA9" w:rsidRPr="00EB2E3B">
              <w:t>heart rate</w:t>
            </w:r>
            <w:r w:rsidRPr="00EB2E3B">
              <w:t>, blood oxygen, temperature) for firefighter / hazmat responders  (and themselves) with wearable sensors at the scene and treat any responders who</w:t>
            </w:r>
            <w:r w:rsidR="00D54ECD">
              <w:t>se vital</w:t>
            </w:r>
            <w:r w:rsidR="001C41DA">
              <w:t xml:space="preserve"> signs</w:t>
            </w:r>
            <w:r w:rsidR="00D54ECD">
              <w:t xml:space="preserve"> exceed thresholds</w:t>
            </w:r>
            <w:r w:rsidRPr="00EB2E3B">
              <w:t>.</w:t>
            </w:r>
          </w:p>
          <w:p w14:paraId="258AB17F" w14:textId="77777777" w:rsidR="00EF57FC" w:rsidRPr="00EB2E3B" w:rsidRDefault="00EF57FC" w:rsidP="00167A93">
            <w:pPr>
              <w:pStyle w:val="InfoBlue"/>
              <w:jc w:val="left"/>
            </w:pPr>
            <w:r w:rsidRPr="00EB2E3B">
              <w:t>Step 5: Based on consultation with ER personnel, EMT’s triage accident victims and organize their transport to destination ER’s.</w:t>
            </w:r>
          </w:p>
        </w:tc>
      </w:tr>
      <w:tr w:rsidR="00EF57FC" w:rsidRPr="00AE7AED" w14:paraId="4F8EFA31" w14:textId="77777777" w:rsidTr="00167A93">
        <w:tc>
          <w:tcPr>
            <w:tcW w:w="9047" w:type="dxa"/>
            <w:gridSpan w:val="2"/>
            <w:shd w:val="clear" w:color="auto" w:fill="D9D9D9"/>
          </w:tcPr>
          <w:p w14:paraId="1E3AC472" w14:textId="77777777" w:rsidR="00EF57FC" w:rsidRPr="00EB2E3B" w:rsidRDefault="00EF57FC" w:rsidP="00E53809">
            <w:pPr>
              <w:pStyle w:val="Heading4"/>
              <w:numPr>
                <w:ilvl w:val="0"/>
                <w:numId w:val="0"/>
              </w:numPr>
            </w:pPr>
            <w:r w:rsidRPr="00EB2E3B">
              <w:t>Post Condition</w:t>
            </w:r>
          </w:p>
        </w:tc>
      </w:tr>
      <w:tr w:rsidR="00EF57FC" w:rsidRPr="00AE7AED" w14:paraId="7E028BD2" w14:textId="77777777" w:rsidTr="00167A93">
        <w:tc>
          <w:tcPr>
            <w:tcW w:w="9047" w:type="dxa"/>
            <w:gridSpan w:val="2"/>
            <w:tcBorders>
              <w:bottom w:val="single" w:sz="4" w:space="0" w:color="auto"/>
            </w:tcBorders>
          </w:tcPr>
          <w:p w14:paraId="3B210D28" w14:textId="77777777" w:rsidR="00EF57FC" w:rsidRPr="00EB2E3B" w:rsidRDefault="00EF57FC" w:rsidP="00E53809">
            <w:r w:rsidRPr="00EB2E3B">
              <w:t>Accident victims are treated and transported for additional treatment while minimizing risks to responder health and safety.</w:t>
            </w:r>
          </w:p>
        </w:tc>
      </w:tr>
      <w:tr w:rsidR="00EF57FC" w:rsidRPr="00AE7AED" w14:paraId="1BB2378F" w14:textId="77777777" w:rsidTr="00167A93">
        <w:tc>
          <w:tcPr>
            <w:tcW w:w="9047" w:type="dxa"/>
            <w:gridSpan w:val="2"/>
            <w:shd w:val="clear" w:color="auto" w:fill="CCCCCC"/>
          </w:tcPr>
          <w:p w14:paraId="42BB04C1" w14:textId="77777777" w:rsidR="00EF57FC" w:rsidRPr="00EB2E3B" w:rsidRDefault="00EF57FC" w:rsidP="00E53809">
            <w:pPr>
              <w:pStyle w:val="Heading4"/>
              <w:numPr>
                <w:ilvl w:val="0"/>
                <w:numId w:val="0"/>
              </w:numPr>
            </w:pPr>
            <w:r w:rsidRPr="00EB2E3B">
              <w:t>Alternative Flow(s)</w:t>
            </w:r>
          </w:p>
        </w:tc>
      </w:tr>
      <w:tr w:rsidR="00EF57FC" w:rsidRPr="00AE7AED" w14:paraId="61CBF4F3" w14:textId="77777777" w:rsidTr="00167A93">
        <w:trPr>
          <w:cantSplit/>
        </w:trPr>
        <w:tc>
          <w:tcPr>
            <w:tcW w:w="9047" w:type="dxa"/>
            <w:gridSpan w:val="2"/>
          </w:tcPr>
          <w:p w14:paraId="1F0A1B74" w14:textId="77777777" w:rsidR="00EF57FC" w:rsidRPr="00536832" w:rsidRDefault="00EF57FC" w:rsidP="00EF57FC">
            <w:pPr>
              <w:tabs>
                <w:tab w:val="left" w:pos="1454"/>
              </w:tabs>
            </w:pPr>
            <w:r w:rsidRPr="00AE7AED">
              <w:t>The scene commander, with imagery and environmental sensor input, designates a landing path and zone for a medevac helicopter to transport critically injured victims to a level 1 trauma center.</w:t>
            </w:r>
          </w:p>
        </w:tc>
      </w:tr>
    </w:tbl>
    <w:p w14:paraId="6880F6E0" w14:textId="77777777" w:rsidR="00EF57FC" w:rsidRDefault="00EF57FC" w:rsidP="00EF57FC">
      <w:pPr>
        <w:spacing w:before="80" w:after="80"/>
        <w:contextualSpacing/>
      </w:pPr>
      <w:r>
        <w:t xml:space="preserve"> </w:t>
      </w:r>
    </w:p>
    <w:p w14:paraId="368BDF18" w14:textId="77777777" w:rsidR="00EF57FC" w:rsidRDefault="00EF57FC" w:rsidP="00EF57FC">
      <w:pPr>
        <w:spacing w:before="80" w:after="80"/>
        <w:contextualSpacing/>
      </w:pPr>
    </w:p>
    <w:p w14:paraId="4E8C6696" w14:textId="77777777" w:rsidR="00AB3C73" w:rsidRDefault="00AB3C73" w:rsidP="00EF57FC">
      <w:pPr>
        <w:spacing w:before="80" w:after="80"/>
        <w:contextualSpacing/>
      </w:pPr>
    </w:p>
    <w:p w14:paraId="2EFA6EE4" w14:textId="77777777" w:rsidR="00EF57FC" w:rsidRDefault="00EF57FC" w:rsidP="00EF57FC">
      <w:pPr>
        <w:pStyle w:val="Heading4"/>
      </w:pPr>
      <w:r>
        <w:lastRenderedPageBreak/>
        <w:t>Use Case 4: Emergency Management</w:t>
      </w: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139"/>
      </w:tblGrid>
      <w:tr w:rsidR="00EF57FC" w:rsidRPr="00AE7AED" w14:paraId="4B7B9CE2" w14:textId="77777777" w:rsidTr="008D01DE">
        <w:tc>
          <w:tcPr>
            <w:tcW w:w="9047" w:type="dxa"/>
            <w:gridSpan w:val="2"/>
            <w:shd w:val="clear" w:color="auto" w:fill="D9D9D9"/>
          </w:tcPr>
          <w:p w14:paraId="587CEC21" w14:textId="77777777" w:rsidR="00EF57FC" w:rsidRPr="00EB2E3B" w:rsidRDefault="00EF57FC" w:rsidP="00E53809">
            <w:pPr>
              <w:pStyle w:val="Heading4"/>
              <w:numPr>
                <w:ilvl w:val="0"/>
                <w:numId w:val="0"/>
              </w:numPr>
            </w:pPr>
            <w:r w:rsidRPr="00EB2E3B">
              <w:t>Overview</w:t>
            </w:r>
          </w:p>
        </w:tc>
      </w:tr>
      <w:tr w:rsidR="00EF57FC" w:rsidRPr="00AE7AED" w14:paraId="54348BB8" w14:textId="77777777" w:rsidTr="008D01DE">
        <w:tc>
          <w:tcPr>
            <w:tcW w:w="1908" w:type="dxa"/>
          </w:tcPr>
          <w:p w14:paraId="603E5D58" w14:textId="77777777" w:rsidR="00EF57FC" w:rsidRPr="00AE7AED" w:rsidRDefault="00EF57FC" w:rsidP="00EF57FC">
            <w:pPr>
              <w:ind w:left="180"/>
              <w:rPr>
                <w:b/>
              </w:rPr>
            </w:pPr>
            <w:r w:rsidRPr="00AE7AED">
              <w:rPr>
                <w:b/>
              </w:rPr>
              <w:t>Title</w:t>
            </w:r>
          </w:p>
        </w:tc>
        <w:tc>
          <w:tcPr>
            <w:tcW w:w="7139" w:type="dxa"/>
          </w:tcPr>
          <w:p w14:paraId="538FF19A" w14:textId="77777777" w:rsidR="00EF57FC" w:rsidRPr="00FF35C8" w:rsidRDefault="00EF57FC" w:rsidP="00E53809">
            <w:pPr>
              <w:pStyle w:val="Heading4"/>
              <w:numPr>
                <w:ilvl w:val="0"/>
                <w:numId w:val="0"/>
              </w:numPr>
              <w:rPr>
                <w:rFonts w:ascii="Times New Roman" w:hAnsi="Times New Roman"/>
                <w:i w:val="0"/>
              </w:rPr>
            </w:pPr>
            <w:r w:rsidRPr="00FF35C8">
              <w:rPr>
                <w:rFonts w:ascii="Times New Roman" w:hAnsi="Times New Roman"/>
                <w:i w:val="0"/>
              </w:rPr>
              <w:t>Emergency management incident response</w:t>
            </w:r>
          </w:p>
        </w:tc>
      </w:tr>
      <w:tr w:rsidR="00EF57FC" w:rsidRPr="00AE7AED" w14:paraId="042A776E" w14:textId="77777777" w:rsidTr="008D01DE">
        <w:tc>
          <w:tcPr>
            <w:tcW w:w="1908" w:type="dxa"/>
          </w:tcPr>
          <w:p w14:paraId="7EE0E576" w14:textId="77777777" w:rsidR="00EF57FC" w:rsidRPr="00AE7AED" w:rsidRDefault="00EF57FC" w:rsidP="00EF57FC">
            <w:pPr>
              <w:ind w:left="180"/>
              <w:rPr>
                <w:b/>
              </w:rPr>
            </w:pPr>
            <w:r w:rsidRPr="00AE7AED">
              <w:rPr>
                <w:b/>
              </w:rPr>
              <w:t>Description</w:t>
            </w:r>
          </w:p>
        </w:tc>
        <w:tc>
          <w:tcPr>
            <w:tcW w:w="7139" w:type="dxa"/>
          </w:tcPr>
          <w:p w14:paraId="14CFD4FC" w14:textId="0DC30693" w:rsidR="00EF57FC" w:rsidRPr="00FF35C8" w:rsidRDefault="00EF57FC" w:rsidP="008D01DE">
            <w:pPr>
              <w:pStyle w:val="Heading4"/>
              <w:numPr>
                <w:ilvl w:val="0"/>
                <w:numId w:val="0"/>
              </w:numPr>
              <w:jc w:val="left"/>
              <w:rPr>
                <w:rFonts w:ascii="Times New Roman" w:hAnsi="Times New Roman"/>
                <w:i w:val="0"/>
              </w:rPr>
            </w:pPr>
            <w:r w:rsidRPr="00FF35C8">
              <w:rPr>
                <w:rFonts w:ascii="Times New Roman" w:hAnsi="Times New Roman"/>
                <w:i w:val="0"/>
              </w:rPr>
              <w:t>Emergency management personnel provide coordination</w:t>
            </w:r>
            <w:r>
              <w:rPr>
                <w:rFonts w:ascii="Times New Roman" w:hAnsi="Times New Roman"/>
                <w:i w:val="0"/>
              </w:rPr>
              <w:t xml:space="preserve"> and support</w:t>
            </w:r>
            <w:r w:rsidRPr="00FF35C8">
              <w:rPr>
                <w:rFonts w:ascii="Times New Roman" w:hAnsi="Times New Roman"/>
                <w:i w:val="0"/>
              </w:rPr>
              <w:t xml:space="preserve"> of responders and resources across one or more responder organizations</w:t>
            </w:r>
            <w:r>
              <w:rPr>
                <w:rFonts w:ascii="Times New Roman" w:hAnsi="Times New Roman"/>
                <w:i w:val="0"/>
              </w:rPr>
              <w:t xml:space="preserve"> (ESFs)</w:t>
            </w:r>
            <w:r w:rsidRPr="00FF35C8">
              <w:rPr>
                <w:rFonts w:ascii="Times New Roman" w:hAnsi="Times New Roman"/>
                <w:i w:val="0"/>
              </w:rPr>
              <w:t>. They typically operate from a command center (fixed or mobile) associated with a specific jurisdiction although joint EOC facilities / arrangements may also exist. They are responsible for incident framework / background data as well as sensor infrastructure such as traffic cameras. They oversee arrangements for virtual sensors such as building systems outputs and social media content</w:t>
            </w:r>
            <w:r w:rsidR="00E53809">
              <w:rPr>
                <w:rFonts w:ascii="Times New Roman" w:hAnsi="Times New Roman"/>
                <w:i w:val="0"/>
              </w:rPr>
              <w:t xml:space="preserve"> as well as obtain and manage resources from other Emergency </w:t>
            </w:r>
            <w:r w:rsidR="00874A29">
              <w:rPr>
                <w:rFonts w:ascii="Times New Roman" w:hAnsi="Times New Roman"/>
                <w:i w:val="0"/>
              </w:rPr>
              <w:t>Support Functions (ESF)</w:t>
            </w:r>
            <w:r w:rsidRPr="00FF35C8">
              <w:rPr>
                <w:rFonts w:ascii="Times New Roman" w:hAnsi="Times New Roman"/>
                <w:i w:val="0"/>
              </w:rPr>
              <w:t>.</w:t>
            </w:r>
          </w:p>
        </w:tc>
      </w:tr>
      <w:tr w:rsidR="00EF57FC" w:rsidRPr="00AE7AED" w14:paraId="6A361FF0" w14:textId="77777777" w:rsidTr="008D01DE">
        <w:tc>
          <w:tcPr>
            <w:tcW w:w="1908" w:type="dxa"/>
          </w:tcPr>
          <w:p w14:paraId="6C346D0F" w14:textId="77777777" w:rsidR="00EF57FC" w:rsidRPr="00AE7AED" w:rsidRDefault="00EF57FC" w:rsidP="00EF57FC">
            <w:pPr>
              <w:ind w:left="180"/>
              <w:rPr>
                <w:b/>
              </w:rPr>
            </w:pPr>
            <w:r w:rsidRPr="00AE7AED">
              <w:rPr>
                <w:b/>
              </w:rPr>
              <w:t>Actors and Interfaces</w:t>
            </w:r>
          </w:p>
        </w:tc>
        <w:tc>
          <w:tcPr>
            <w:tcW w:w="7139" w:type="dxa"/>
          </w:tcPr>
          <w:p w14:paraId="3248B7D6" w14:textId="77777777" w:rsidR="00EF57FC" w:rsidRPr="00EB2E3B" w:rsidRDefault="00EF57FC">
            <w:pPr>
              <w:pStyle w:val="InfoBlue"/>
              <w:numPr>
                <w:ilvl w:val="0"/>
                <w:numId w:val="82"/>
              </w:numPr>
            </w:pPr>
            <w:r>
              <w:t>EM Staff</w:t>
            </w:r>
          </w:p>
          <w:p w14:paraId="2AC14910" w14:textId="77777777" w:rsidR="00EF57FC" w:rsidRPr="00AE7AED" w:rsidRDefault="00EF57FC" w:rsidP="00874A29">
            <w:pPr>
              <w:pStyle w:val="BodyText"/>
              <w:numPr>
                <w:ilvl w:val="0"/>
                <w:numId w:val="82"/>
              </w:numPr>
              <w:spacing w:after="40"/>
              <w:rPr>
                <w:rFonts w:ascii="Arial" w:hAnsi="Arial"/>
                <w:i/>
                <w:szCs w:val="22"/>
              </w:rPr>
            </w:pPr>
            <w:r w:rsidRPr="00AE7AED">
              <w:t>Analyst</w:t>
            </w:r>
          </w:p>
          <w:p w14:paraId="541CA6C1" w14:textId="77777777" w:rsidR="00EF57FC" w:rsidRPr="00536832" w:rsidRDefault="00EF57FC" w:rsidP="00874A29">
            <w:pPr>
              <w:pStyle w:val="BodyText"/>
              <w:numPr>
                <w:ilvl w:val="0"/>
                <w:numId w:val="82"/>
              </w:numPr>
              <w:spacing w:after="40"/>
              <w:rPr>
                <w:rFonts w:ascii="Arial" w:hAnsi="Arial"/>
                <w:i/>
                <w:szCs w:val="22"/>
              </w:rPr>
            </w:pPr>
            <w:r w:rsidRPr="00536832">
              <w:t>Incident commander</w:t>
            </w:r>
          </w:p>
        </w:tc>
      </w:tr>
      <w:tr w:rsidR="00EF57FC" w:rsidRPr="00AE7AED" w14:paraId="1AA05FD0" w14:textId="77777777" w:rsidTr="008D01DE">
        <w:tc>
          <w:tcPr>
            <w:tcW w:w="1908" w:type="dxa"/>
          </w:tcPr>
          <w:p w14:paraId="3974349F" w14:textId="77777777" w:rsidR="00EF57FC" w:rsidRPr="00AE7AED" w:rsidRDefault="00EF57FC" w:rsidP="00EF57FC">
            <w:pPr>
              <w:ind w:left="180"/>
              <w:rPr>
                <w:b/>
              </w:rPr>
            </w:pPr>
            <w:r w:rsidRPr="00AE7AED">
              <w:rPr>
                <w:b/>
              </w:rPr>
              <w:t>Initial Status and Preconditions</w:t>
            </w:r>
          </w:p>
        </w:tc>
        <w:tc>
          <w:tcPr>
            <w:tcW w:w="7139" w:type="dxa"/>
          </w:tcPr>
          <w:p w14:paraId="3A1389F5" w14:textId="77777777" w:rsidR="00EF57FC" w:rsidRPr="00FF35C8" w:rsidRDefault="00EF57FC" w:rsidP="00874A29">
            <w:pPr>
              <w:pStyle w:val="Heading4"/>
              <w:numPr>
                <w:ilvl w:val="0"/>
                <w:numId w:val="0"/>
              </w:numPr>
              <w:rPr>
                <w:rFonts w:ascii="Times New Roman" w:hAnsi="Times New Roman"/>
                <w:i w:val="0"/>
              </w:rPr>
            </w:pPr>
            <w:r w:rsidRPr="00FF35C8">
              <w:rPr>
                <w:rFonts w:ascii="Times New Roman" w:hAnsi="Times New Roman"/>
                <w:i w:val="0"/>
              </w:rPr>
              <w:t>Mutual aid and information sharing agreements are in place to support incident response coordination and division of responsibility</w:t>
            </w:r>
          </w:p>
        </w:tc>
      </w:tr>
      <w:tr w:rsidR="00EF57FC" w:rsidRPr="00AE7AED" w14:paraId="2BD56EED" w14:textId="77777777" w:rsidTr="008D01DE">
        <w:tc>
          <w:tcPr>
            <w:tcW w:w="9047" w:type="dxa"/>
            <w:gridSpan w:val="2"/>
            <w:shd w:val="clear" w:color="auto" w:fill="D9D9D9"/>
          </w:tcPr>
          <w:p w14:paraId="15885FF1" w14:textId="77777777" w:rsidR="00EF57FC" w:rsidRPr="00EB2E3B" w:rsidRDefault="00EF57FC" w:rsidP="008D01DE">
            <w:pPr>
              <w:pStyle w:val="Heading4"/>
              <w:numPr>
                <w:ilvl w:val="0"/>
                <w:numId w:val="0"/>
              </w:numPr>
            </w:pPr>
            <w:r w:rsidRPr="00EB2E3B">
              <w:t>Basic Flow</w:t>
            </w:r>
          </w:p>
        </w:tc>
      </w:tr>
      <w:tr w:rsidR="00EF57FC" w:rsidRPr="00AE7AED" w14:paraId="06B9B6E7" w14:textId="77777777" w:rsidTr="008D01DE">
        <w:tc>
          <w:tcPr>
            <w:tcW w:w="9047" w:type="dxa"/>
            <w:gridSpan w:val="2"/>
          </w:tcPr>
          <w:p w14:paraId="360D53CA" w14:textId="62B878DF" w:rsidR="00EF57FC" w:rsidRPr="00EB2E3B" w:rsidRDefault="00EF57FC" w:rsidP="00167A93">
            <w:pPr>
              <w:pStyle w:val="InfoBlue"/>
              <w:jc w:val="left"/>
            </w:pPr>
            <w:r w:rsidRPr="00EB2E3B">
              <w:t xml:space="preserve">Step 1: </w:t>
            </w:r>
            <w:r>
              <w:t>EM Staff</w:t>
            </w:r>
            <w:r w:rsidRPr="00EB2E3B">
              <w:t xml:space="preserve"> for each affected jurisdiction’s EM coordination facility are alerted of the incident location, type, and extent. Since the accident is located (just) within city boundaries but adjoins a county jurisdiction as well as involving state transportation concerns, the city </w:t>
            </w:r>
            <w:r w:rsidR="00A10FA9" w:rsidRPr="00EB2E3B">
              <w:t>EM is</w:t>
            </w:r>
            <w:r w:rsidRPr="00EB2E3B">
              <w:t xml:space="preserve"> designated </w:t>
            </w:r>
            <w:r w:rsidR="00A10FA9" w:rsidRPr="00EB2E3B">
              <w:t>the lead</w:t>
            </w:r>
            <w:r>
              <w:t xml:space="preserve"> </w:t>
            </w:r>
            <w:r w:rsidR="00A10FA9">
              <w:t>EOC</w:t>
            </w:r>
            <w:r w:rsidR="00A10FA9" w:rsidRPr="00EB2E3B">
              <w:t xml:space="preserve"> and</w:t>
            </w:r>
            <w:r w:rsidRPr="00EB2E3B">
              <w:t xml:space="preserve"> forms a virtual EOC with the leads from the other two jurisdictions.</w:t>
            </w:r>
          </w:p>
          <w:p w14:paraId="3854301E" w14:textId="77777777" w:rsidR="00EF57FC" w:rsidRPr="00EB2E3B" w:rsidRDefault="00EF57FC" w:rsidP="00167A93">
            <w:pPr>
              <w:pStyle w:val="InfoBlue"/>
              <w:jc w:val="left"/>
            </w:pPr>
            <w:r w:rsidRPr="00EB2E3B">
              <w:t>Step 2: Analysts for each jurisdiction build a shared model of the incident scene and surroundings, connected to framework data, imagery, sensor readings. They publish a Web-based catalog / listing of available data resources that can be accessed by any responding and key personnel from the three jurisdictions.</w:t>
            </w:r>
          </w:p>
          <w:p w14:paraId="10C6D089" w14:textId="77777777" w:rsidR="00EF57FC" w:rsidRPr="00EB2E3B" w:rsidRDefault="00EF57FC" w:rsidP="00167A93">
            <w:pPr>
              <w:pStyle w:val="InfoBlue"/>
              <w:jc w:val="left"/>
            </w:pPr>
            <w:r w:rsidRPr="00EB2E3B">
              <w:t>Step 3: Analysts generate dynamic decision support products that match up resources available within each jurisdiction with developing response needs.</w:t>
            </w:r>
          </w:p>
          <w:p w14:paraId="363ABEE2" w14:textId="77777777" w:rsidR="00EF57FC" w:rsidRPr="00EB2E3B" w:rsidRDefault="00EF57FC" w:rsidP="00167A93">
            <w:pPr>
              <w:pStyle w:val="InfoBlue"/>
              <w:jc w:val="left"/>
            </w:pPr>
            <w:r w:rsidRPr="00EB2E3B">
              <w:t>Step 4: The incident commander evaluates and approves requests for resources (e.g. additional liquid containment booms</w:t>
            </w:r>
            <w:r>
              <w:t>, damming and diking equipment, and absorbents</w:t>
            </w:r>
            <w:r w:rsidRPr="00EB2E3B">
              <w:t xml:space="preserve">) from each jurisdiction. </w:t>
            </w:r>
          </w:p>
        </w:tc>
      </w:tr>
      <w:tr w:rsidR="00EF57FC" w:rsidRPr="00AE7AED" w14:paraId="2CD9BA60" w14:textId="77777777" w:rsidTr="008D01DE">
        <w:tc>
          <w:tcPr>
            <w:tcW w:w="9047" w:type="dxa"/>
            <w:gridSpan w:val="2"/>
            <w:shd w:val="clear" w:color="auto" w:fill="D9D9D9"/>
          </w:tcPr>
          <w:p w14:paraId="1DAA6462" w14:textId="77777777" w:rsidR="00EF57FC" w:rsidRPr="00EB2E3B" w:rsidRDefault="00EF57FC" w:rsidP="008D01DE">
            <w:pPr>
              <w:pStyle w:val="Heading4"/>
              <w:numPr>
                <w:ilvl w:val="0"/>
                <w:numId w:val="0"/>
              </w:numPr>
            </w:pPr>
            <w:r w:rsidRPr="00EB2E3B">
              <w:t>Post Condition</w:t>
            </w:r>
          </w:p>
        </w:tc>
      </w:tr>
      <w:tr w:rsidR="00EF57FC" w:rsidRPr="00AE7AED" w14:paraId="38F542C4" w14:textId="77777777" w:rsidTr="008D01DE">
        <w:tc>
          <w:tcPr>
            <w:tcW w:w="9047" w:type="dxa"/>
            <w:gridSpan w:val="2"/>
            <w:tcBorders>
              <w:bottom w:val="single" w:sz="4" w:space="0" w:color="auto"/>
            </w:tcBorders>
          </w:tcPr>
          <w:p w14:paraId="37CFC63F" w14:textId="77777777" w:rsidR="00EF57FC" w:rsidRPr="00EB2E3B" w:rsidRDefault="00EF57FC" w:rsidP="00167A93">
            <w:pPr>
              <w:tabs>
                <w:tab w:val="left" w:pos="1454"/>
              </w:tabs>
              <w:outlineLvl w:val="3"/>
            </w:pPr>
            <w:r w:rsidRPr="00EB2E3B">
              <w:t>A complete picture of the situation, observations of its evolution, and plans for resource utilization are available within each EM facility as well as on responder / supervisor desktops and mobile devices throughout the three affected jurisdictions.</w:t>
            </w:r>
          </w:p>
        </w:tc>
      </w:tr>
      <w:tr w:rsidR="00EF57FC" w:rsidRPr="00AE7AED" w14:paraId="46E0D643" w14:textId="77777777" w:rsidTr="008D01DE">
        <w:tc>
          <w:tcPr>
            <w:tcW w:w="9047" w:type="dxa"/>
            <w:gridSpan w:val="2"/>
            <w:shd w:val="clear" w:color="auto" w:fill="CCCCCC"/>
          </w:tcPr>
          <w:p w14:paraId="340F37EA" w14:textId="77777777" w:rsidR="00EF57FC" w:rsidRPr="00EB2E3B" w:rsidRDefault="00EF57FC" w:rsidP="00874A29">
            <w:pPr>
              <w:pStyle w:val="Heading4"/>
              <w:numPr>
                <w:ilvl w:val="0"/>
                <w:numId w:val="0"/>
              </w:numPr>
            </w:pPr>
            <w:r w:rsidRPr="00EB2E3B">
              <w:t>Alternative Flow(s)</w:t>
            </w:r>
          </w:p>
        </w:tc>
      </w:tr>
      <w:tr w:rsidR="00EF57FC" w:rsidRPr="00AE7AED" w14:paraId="276AAA50" w14:textId="77777777" w:rsidTr="008D01DE">
        <w:tc>
          <w:tcPr>
            <w:tcW w:w="9047" w:type="dxa"/>
            <w:gridSpan w:val="2"/>
          </w:tcPr>
          <w:p w14:paraId="3A88A268" w14:textId="77777777" w:rsidR="00EF57FC" w:rsidRDefault="00EF57FC" w:rsidP="00167A93">
            <w:pPr>
              <w:pStyle w:val="ListParagraph"/>
              <w:numPr>
                <w:ilvl w:val="0"/>
                <w:numId w:val="84"/>
              </w:numPr>
              <w:tabs>
                <w:tab w:val="left" w:pos="1454"/>
              </w:tabs>
              <w:jc w:val="left"/>
              <w:outlineLvl w:val="3"/>
            </w:pPr>
            <w:r w:rsidRPr="00AE7AED">
              <w:t>The incident commander also evaluates and activates appropriate virtual sensor agreements with buildings and other facilities within the incident area. Analysts add any such designated virtual sensor interfaces to the catalog of available data resources.</w:t>
            </w:r>
          </w:p>
          <w:p w14:paraId="26CB2FFF" w14:textId="5A01DB33" w:rsidR="00EF57FC" w:rsidRDefault="00EF57FC" w:rsidP="00167A93">
            <w:pPr>
              <w:pStyle w:val="ListParagraph"/>
              <w:numPr>
                <w:ilvl w:val="0"/>
                <w:numId w:val="84"/>
              </w:numPr>
              <w:tabs>
                <w:tab w:val="left" w:pos="1454"/>
              </w:tabs>
              <w:jc w:val="left"/>
              <w:outlineLvl w:val="3"/>
            </w:pPr>
            <w:r>
              <w:lastRenderedPageBreak/>
              <w:t xml:space="preserve">Depending upon the impact of adjacent jurisdictions, they may establish their own EOCs or send a </w:t>
            </w:r>
            <w:r w:rsidR="00A10FA9">
              <w:t>jurisdictional</w:t>
            </w:r>
            <w:r>
              <w:t xml:space="preserve"> representative to the host EOC.</w:t>
            </w:r>
          </w:p>
          <w:p w14:paraId="5BFD16A9" w14:textId="77777777" w:rsidR="00EF57FC" w:rsidRDefault="00EF57FC" w:rsidP="00167A93">
            <w:pPr>
              <w:pStyle w:val="ListParagraph"/>
              <w:numPr>
                <w:ilvl w:val="0"/>
                <w:numId w:val="84"/>
              </w:numPr>
              <w:tabs>
                <w:tab w:val="left" w:pos="1454"/>
              </w:tabs>
              <w:jc w:val="left"/>
              <w:outlineLvl w:val="3"/>
            </w:pPr>
            <w:r>
              <w:t>EOC activations vary in size and scope.  On moderate incidents, a partial EOC may be stood up, while a major incident may require a full EOC activation.</w:t>
            </w:r>
          </w:p>
          <w:p w14:paraId="175B471C" w14:textId="14432BB7" w:rsidR="00EF57FC" w:rsidRDefault="00EF57FC" w:rsidP="00167A93">
            <w:pPr>
              <w:pStyle w:val="ListParagraph"/>
              <w:numPr>
                <w:ilvl w:val="0"/>
                <w:numId w:val="84"/>
              </w:numPr>
              <w:tabs>
                <w:tab w:val="left" w:pos="1454"/>
              </w:tabs>
              <w:jc w:val="left"/>
              <w:outlineLvl w:val="3"/>
            </w:pPr>
            <w:r>
              <w:t xml:space="preserve">EOC functions may vary from a mobile command post to a full fixed EOC </w:t>
            </w:r>
            <w:r w:rsidR="00A10FA9">
              <w:t>activation</w:t>
            </w:r>
            <w:r>
              <w:t xml:space="preserve">.  </w:t>
            </w:r>
          </w:p>
          <w:p w14:paraId="23C3BE5D" w14:textId="6FF0CC71" w:rsidR="00EF57FC" w:rsidRPr="00EB2E3B" w:rsidRDefault="00EF57FC" w:rsidP="00167A93">
            <w:pPr>
              <w:pStyle w:val="ListParagraph"/>
              <w:numPr>
                <w:ilvl w:val="0"/>
                <w:numId w:val="84"/>
              </w:numPr>
              <w:tabs>
                <w:tab w:val="left" w:pos="1454"/>
              </w:tabs>
              <w:jc w:val="left"/>
              <w:outlineLvl w:val="3"/>
            </w:pPr>
            <w:r>
              <w:t xml:space="preserve">EOC functional levels include that for local governments, state EOC activation (including National Guard), and/or Federal </w:t>
            </w:r>
            <w:r w:rsidR="00A10FA9">
              <w:t>activation</w:t>
            </w:r>
            <w:r>
              <w:t xml:space="preserve"> of government EOCs such as that for DHS, FEMA, HHS, or other federal agency.   </w:t>
            </w:r>
          </w:p>
        </w:tc>
      </w:tr>
    </w:tbl>
    <w:p w14:paraId="3B74A926" w14:textId="554227DA" w:rsidR="00C0495D" w:rsidRDefault="00C0495D" w:rsidP="00C0495D">
      <w:pPr>
        <w:spacing w:before="80" w:after="80"/>
        <w:contextualSpacing/>
      </w:pPr>
    </w:p>
    <w:p w14:paraId="67524E78" w14:textId="77777777" w:rsidR="00406248" w:rsidRDefault="00406248" w:rsidP="00C0495D">
      <w:pPr>
        <w:spacing w:before="80" w:after="80"/>
        <w:contextualSpacing/>
      </w:pPr>
    </w:p>
    <w:p w14:paraId="3F220F79" w14:textId="419AB659" w:rsidR="00406248" w:rsidRDefault="00406248" w:rsidP="006628DD">
      <w:pPr>
        <w:pStyle w:val="Caption"/>
        <w:keepNext/>
        <w:jc w:val="left"/>
      </w:pPr>
      <w:bookmarkStart w:id="169" w:name="_Toc291251587"/>
      <w:r>
        <w:t>Figure 1: Incident management operations command interactions</w:t>
      </w:r>
      <w:bookmarkEnd w:id="169"/>
    </w:p>
    <w:p w14:paraId="18B865CF" w14:textId="35C67564" w:rsidR="00406248" w:rsidRDefault="00406248" w:rsidP="006628DD">
      <w:pPr>
        <w:spacing w:before="80" w:after="80"/>
        <w:contextualSpacing/>
        <w:jc w:val="right"/>
      </w:pPr>
      <w:r>
        <w:drawing>
          <wp:inline distT="0" distB="0" distL="0" distR="0" wp14:anchorId="3EB52D54" wp14:editId="56E59BE6">
            <wp:extent cx="4966335" cy="34860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6405" cy="3486083"/>
                    </a:xfrm>
                    <a:prstGeom prst="rect">
                      <a:avLst/>
                    </a:prstGeom>
                    <a:noFill/>
                    <a:ln>
                      <a:noFill/>
                    </a:ln>
                  </pic:spPr>
                </pic:pic>
              </a:graphicData>
            </a:graphic>
          </wp:inline>
        </w:drawing>
      </w:r>
    </w:p>
    <w:p w14:paraId="43C66928" w14:textId="77777777" w:rsidR="00540A2E" w:rsidRDefault="00540A2E" w:rsidP="00716B5D">
      <w:pPr>
        <w:pStyle w:val="Heading2"/>
      </w:pPr>
      <w:bookmarkStart w:id="170" w:name="_Toc519255505"/>
      <w:bookmarkStart w:id="171" w:name="_Toc221621637"/>
      <w:bookmarkStart w:id="172" w:name="_Toc291251557"/>
      <w:r>
        <w:t>Technical Context</w:t>
      </w:r>
      <w:bookmarkEnd w:id="170"/>
      <w:bookmarkEnd w:id="171"/>
      <w:bookmarkEnd w:id="172"/>
    </w:p>
    <w:p w14:paraId="2DBCF19C" w14:textId="5BA672E1" w:rsidR="00540A2E" w:rsidRDefault="00540A2E" w:rsidP="00707C99">
      <w:r>
        <w:t xml:space="preserve">Participants in this initiative will </w:t>
      </w:r>
      <w:r w:rsidR="00707C99">
        <w:t xml:space="preserve">contribute </w:t>
      </w:r>
      <w:r>
        <w:t xml:space="preserve">available or proposed application software, </w:t>
      </w:r>
      <w:r w:rsidR="00BB28EA">
        <w:t xml:space="preserve">data, </w:t>
      </w:r>
      <w:r>
        <w:t xml:space="preserve">develop </w:t>
      </w:r>
      <w:r w:rsidR="009A29A9">
        <w:t>s</w:t>
      </w:r>
      <w:r>
        <w:t xml:space="preserve">chema and related </w:t>
      </w:r>
      <w:r w:rsidR="009A29A9">
        <w:t>schema</w:t>
      </w:r>
      <w:r>
        <w:t xml:space="preserve"> instance documents as needed to support </w:t>
      </w:r>
      <w:r w:rsidR="00707C99">
        <w:t>design</w:t>
      </w:r>
      <w:r>
        <w:t xml:space="preserve">, testing and validation of Use Cases described in </w:t>
      </w:r>
      <w:r w:rsidR="00707C99">
        <w:fldChar w:fldCharType="begin"/>
      </w:r>
      <w:r w:rsidR="00707C99">
        <w:instrText xml:space="preserve"> REF _Ref287689168 \r \h </w:instrText>
      </w:r>
      <w:r w:rsidR="00707C99">
        <w:fldChar w:fldCharType="separate"/>
      </w:r>
      <w:r w:rsidR="005F7546">
        <w:t>3.2</w:t>
      </w:r>
      <w:r w:rsidR="00707C99">
        <w:fldChar w:fldCharType="end"/>
      </w:r>
      <w:r>
        <w:t xml:space="preserve">. Based on the architecture described in </w:t>
      </w:r>
      <w:r w:rsidR="00707C99">
        <w:t xml:space="preserve">this </w:t>
      </w:r>
      <w:r>
        <w:t xml:space="preserve">Annex B, participants will have flexibility to design the test environment, test harnesses, </w:t>
      </w:r>
      <w:r w:rsidR="00707C99">
        <w:t>and</w:t>
      </w:r>
      <w:r>
        <w:t xml:space="preserve"> tools to for use in demonstrations associated with the operational context. </w:t>
      </w:r>
      <w:r w:rsidR="00707C99">
        <w:t xml:space="preserve">Additional initiative </w:t>
      </w:r>
      <w:r>
        <w:t xml:space="preserve"> requirements are provided in Annex A</w:t>
      </w:r>
      <w:r w:rsidR="00707C99">
        <w:t xml:space="preserve"> and the Work Breakdown Structure (WBS)</w:t>
      </w:r>
      <w:r>
        <w:t>.</w:t>
      </w:r>
    </w:p>
    <w:p w14:paraId="3325D829" w14:textId="5B70ED44" w:rsidR="009E085F" w:rsidRDefault="009E085F" w:rsidP="00707C99">
      <w:r>
        <w:t>The following Viewpoints describe architectures, components, services, protocols and encodings to be addressed during the IMIS IoT Pilot.</w:t>
      </w:r>
    </w:p>
    <w:p w14:paraId="3B8F6B29" w14:textId="77777777" w:rsidR="00406248" w:rsidRDefault="00406248">
      <w:pPr>
        <w:spacing w:before="0" w:after="0"/>
        <w:rPr>
          <w:rFonts w:ascii="Arial" w:hAnsi="Arial"/>
          <w:b/>
          <w:kern w:val="36"/>
          <w:sz w:val="28"/>
        </w:rPr>
      </w:pPr>
      <w:bookmarkStart w:id="173" w:name="_Toc330454984"/>
      <w:bookmarkStart w:id="174" w:name="_Toc330454987"/>
      <w:bookmarkStart w:id="175" w:name="_Toc321342197"/>
      <w:bookmarkStart w:id="176" w:name="_Toc321342198"/>
      <w:bookmarkStart w:id="177" w:name="_Toc321342199"/>
      <w:bookmarkStart w:id="178" w:name="_Toc330454989"/>
      <w:bookmarkStart w:id="179" w:name="_Toc34475959"/>
      <w:bookmarkStart w:id="180" w:name="_Toc35536824"/>
      <w:bookmarkStart w:id="181" w:name="_Ref221866131"/>
      <w:bookmarkStart w:id="182" w:name="_Ref222396652"/>
      <w:bookmarkStart w:id="183" w:name="_Ref287690527"/>
      <w:bookmarkEnd w:id="173"/>
      <w:bookmarkEnd w:id="174"/>
      <w:bookmarkEnd w:id="175"/>
      <w:bookmarkEnd w:id="176"/>
      <w:bookmarkEnd w:id="177"/>
      <w:bookmarkEnd w:id="178"/>
      <w:r>
        <w:br w:type="page"/>
      </w:r>
    </w:p>
    <w:p w14:paraId="09F8AEA2" w14:textId="6577AF5D" w:rsidR="00C414E5" w:rsidRDefault="00C414E5" w:rsidP="00E26B62">
      <w:pPr>
        <w:pStyle w:val="Heading1"/>
      </w:pPr>
      <w:bookmarkStart w:id="184" w:name="_Ref291132281"/>
      <w:bookmarkStart w:id="185" w:name="_Toc291251558"/>
      <w:r>
        <w:lastRenderedPageBreak/>
        <w:t>Information Viewpoint</w:t>
      </w:r>
      <w:bookmarkEnd w:id="179"/>
      <w:bookmarkEnd w:id="180"/>
      <w:bookmarkEnd w:id="181"/>
      <w:bookmarkEnd w:id="182"/>
      <w:bookmarkEnd w:id="183"/>
      <w:bookmarkEnd w:id="184"/>
      <w:bookmarkEnd w:id="185"/>
    </w:p>
    <w:p w14:paraId="245036A0" w14:textId="77777777" w:rsidR="00C414E5" w:rsidRDefault="00C414E5" w:rsidP="00393573">
      <w:pPr>
        <w:pStyle w:val="Heading2"/>
      </w:pPr>
      <w:bookmarkStart w:id="186" w:name="_Toc35536825"/>
      <w:bookmarkStart w:id="187" w:name="_Toc291251559"/>
      <w:r>
        <w:t>Overview</w:t>
      </w:r>
      <w:bookmarkEnd w:id="186"/>
      <w:bookmarkEnd w:id="187"/>
    </w:p>
    <w:p w14:paraId="344C4D53" w14:textId="4E010031" w:rsidR="00C414E5" w:rsidRDefault="00C414E5" w:rsidP="00E620A9">
      <w:r>
        <w:t>The information viewpoint is concerned with the semantics of information and information processing. It defines conceptual schemas for geospatial information and methods for defining application schemas. The conceptual, or base, schemas are formal descriptions of the model of any geospatial information. Application schemas are information models for a specific information community. Applications schemas are built from the conceptual schemas.</w:t>
      </w:r>
      <w:r w:rsidR="00FB00A8">
        <w:t xml:space="preserve"> Information encodings then define the content of messages by which system components exchange information</w:t>
      </w:r>
    </w:p>
    <w:p w14:paraId="6E3F41A4" w14:textId="76CD57E2" w:rsidR="005C31EE" w:rsidRDefault="005C31EE" w:rsidP="00F2541B">
      <w:pPr>
        <w:pStyle w:val="Heading2"/>
      </w:pPr>
      <w:bookmarkStart w:id="188" w:name="_Ref222448531"/>
      <w:bookmarkStart w:id="189" w:name="_Toc291251560"/>
      <w:r>
        <w:t>OGC</w:t>
      </w:r>
      <w:r w:rsidR="00A764A1">
        <w:t xml:space="preserve"> and Other</w:t>
      </w:r>
      <w:r>
        <w:t xml:space="preserve"> Information Models and Encodings</w:t>
      </w:r>
      <w:bookmarkEnd w:id="188"/>
      <w:bookmarkEnd w:id="189"/>
    </w:p>
    <w:p w14:paraId="7B1FE48A" w14:textId="2D04ECC4" w:rsidR="00A764A1" w:rsidRDefault="00A764A1" w:rsidP="00A764A1">
      <w:r>
        <w:t xml:space="preserve">This section identifies specific standard information models, schemas, profiles, and/or encodings that are applicable to the information exchanges expected to play a role in the Pilot </w:t>
      </w:r>
      <w:r w:rsidR="00CF5CFC">
        <w:t>project</w:t>
      </w:r>
      <w:r>
        <w:t>.</w:t>
      </w:r>
      <w:r w:rsidR="00CE675B">
        <w:t xml:space="preserve">  This is a representative list, but additional standards may be identified in the course of the initiative.</w:t>
      </w:r>
    </w:p>
    <w:p w14:paraId="3635D4CC" w14:textId="3A034EA0" w:rsidR="00A764A1" w:rsidRPr="00C22865" w:rsidRDefault="00A764A1" w:rsidP="00A764A1">
      <w:pPr>
        <w:rPr>
          <w:rFonts w:ascii="Arial" w:hAnsi="Arial" w:cs="Arial"/>
          <w:b/>
        </w:rPr>
      </w:pPr>
      <w:r>
        <w:rPr>
          <w:rFonts w:ascii="Arial" w:hAnsi="Arial" w:cs="Arial"/>
          <w:b/>
        </w:rPr>
        <w:t>Information Standards</w:t>
      </w:r>
      <w:r w:rsidRPr="00C22865">
        <w:rPr>
          <w:rFonts w:ascii="Arial" w:hAnsi="Arial" w:cs="Arial"/>
          <w:b/>
        </w:rPr>
        <w:t>:</w:t>
      </w:r>
    </w:p>
    <w:p w14:paraId="75A40629" w14:textId="3C0EAA85" w:rsidR="00A764A1" w:rsidRDefault="00A764A1" w:rsidP="00EB2E3B">
      <w:pPr>
        <w:numPr>
          <w:ilvl w:val="0"/>
          <w:numId w:val="47"/>
        </w:numPr>
        <w:spacing w:before="0" w:after="0"/>
      </w:pPr>
      <w:r>
        <w:t>Geographic Markup Language</w:t>
      </w:r>
    </w:p>
    <w:p w14:paraId="42C5DF27" w14:textId="20FF3CC1" w:rsidR="00A764A1" w:rsidRDefault="00A764A1" w:rsidP="00EB2E3B">
      <w:pPr>
        <w:numPr>
          <w:ilvl w:val="0"/>
          <w:numId w:val="47"/>
        </w:numPr>
        <w:spacing w:before="0" w:after="0"/>
      </w:pPr>
      <w:r>
        <w:t>Observations and Measurements</w:t>
      </w:r>
    </w:p>
    <w:p w14:paraId="19B07182" w14:textId="44741BAC" w:rsidR="00A764A1" w:rsidRDefault="00A764A1" w:rsidP="00EB2E3B">
      <w:pPr>
        <w:numPr>
          <w:ilvl w:val="0"/>
          <w:numId w:val="47"/>
        </w:numPr>
        <w:spacing w:before="0" w:after="0"/>
      </w:pPr>
      <w:r>
        <w:t>SensorML</w:t>
      </w:r>
    </w:p>
    <w:p w14:paraId="7ACA7840" w14:textId="4F081FB0" w:rsidR="00A764A1" w:rsidRDefault="00A764A1" w:rsidP="00EB2E3B">
      <w:pPr>
        <w:numPr>
          <w:ilvl w:val="0"/>
          <w:numId w:val="47"/>
        </w:numPr>
        <w:spacing w:before="0" w:after="0"/>
      </w:pPr>
      <w:r>
        <w:t>OWS Context</w:t>
      </w:r>
    </w:p>
    <w:p w14:paraId="35566908" w14:textId="7834EF30" w:rsidR="00A764A1" w:rsidRDefault="00A764A1" w:rsidP="00EB2E3B">
      <w:pPr>
        <w:numPr>
          <w:ilvl w:val="0"/>
          <w:numId w:val="47"/>
        </w:numPr>
        <w:spacing w:before="0" w:after="0"/>
      </w:pPr>
      <w:r>
        <w:t>CSW Record</w:t>
      </w:r>
    </w:p>
    <w:p w14:paraId="05B47D3B" w14:textId="5C26B509" w:rsidR="00A764A1" w:rsidRDefault="00FB4E4A" w:rsidP="00EB2E3B">
      <w:pPr>
        <w:numPr>
          <w:ilvl w:val="0"/>
          <w:numId w:val="47"/>
        </w:numPr>
        <w:spacing w:before="0" w:after="0"/>
      </w:pPr>
      <w:r>
        <w:t>GeoJSON</w:t>
      </w:r>
    </w:p>
    <w:p w14:paraId="26C8C72C" w14:textId="7F8DB0AE" w:rsidR="004905AC" w:rsidRPr="00A764A1" w:rsidRDefault="004905AC" w:rsidP="00EB2E3B">
      <w:pPr>
        <w:numPr>
          <w:ilvl w:val="0"/>
          <w:numId w:val="47"/>
        </w:numPr>
        <w:spacing w:before="0" w:after="0"/>
      </w:pPr>
      <w:r>
        <w:t>Sensor Networks: Sensor Network Reference Architecture (SNRA)</w:t>
      </w:r>
    </w:p>
    <w:p w14:paraId="4A843A45" w14:textId="353F1270" w:rsidR="00681741" w:rsidRDefault="00C058AC" w:rsidP="00C058AC">
      <w:pPr>
        <w:pStyle w:val="Heading3"/>
      </w:pPr>
      <w:bookmarkStart w:id="190" w:name="_Toc291251561"/>
      <w:r>
        <w:t>Geographic Markup Language (GML)</w:t>
      </w:r>
      <w:bookmarkEnd w:id="190"/>
    </w:p>
    <w:p w14:paraId="6DB9A8F4" w14:textId="489BF007" w:rsidR="00C058AC" w:rsidRDefault="0077091E" w:rsidP="00C058AC">
      <w:r w:rsidRPr="0077091E">
        <w:t>The</w:t>
      </w:r>
      <w:r w:rsidR="00A74D77">
        <w:t xml:space="preserve"> OGC</w:t>
      </w:r>
      <w:r w:rsidRPr="0077091E">
        <w:t xml:space="preserve"> </w:t>
      </w:r>
      <w:hyperlink r:id="rId16" w:history="1">
        <w:r w:rsidRPr="0077091E">
          <w:rPr>
            <w:rStyle w:val="Hyperlink"/>
          </w:rPr>
          <w:t>Geography Markup Language</w:t>
        </w:r>
      </w:hyperlink>
      <w:r w:rsidRPr="0077091E">
        <w:t xml:space="preserve"> (GML) is an XML grammar for expressing geographical features. GML serves as a modeling language for geographic systems as well as an open interchange format for geographic transactions on the Internet.</w:t>
      </w:r>
    </w:p>
    <w:p w14:paraId="655E9F2E" w14:textId="4FB318D2" w:rsidR="00C058AC" w:rsidRDefault="00C058AC" w:rsidP="00C058AC">
      <w:pPr>
        <w:pStyle w:val="Heading3"/>
      </w:pPr>
      <w:bookmarkStart w:id="191" w:name="_Toc291251562"/>
      <w:r>
        <w:t>Observations and Measurements (O&amp;M)</w:t>
      </w:r>
      <w:bookmarkEnd w:id="191"/>
    </w:p>
    <w:p w14:paraId="7A0D8F8F" w14:textId="221090B6" w:rsidR="00C058AC" w:rsidRDefault="0077091E" w:rsidP="00C058AC">
      <w:r>
        <w:t>T</w:t>
      </w:r>
      <w:r w:rsidRPr="0077091E">
        <w:t xml:space="preserve">he OGC and ISO </w:t>
      </w:r>
      <w:hyperlink r:id="rId17" w:history="1">
        <w:r w:rsidRPr="00A74D77">
          <w:rPr>
            <w:rStyle w:val="Hyperlink"/>
          </w:rPr>
          <w:t>Observations and Measurements</w:t>
        </w:r>
      </w:hyperlink>
      <w:r w:rsidRPr="0077091E">
        <w:t xml:space="preserve"> (O&amp;M) conceptual model (OGC Observations and Measurements v2.0 </w:t>
      </w:r>
      <w:r>
        <w:t xml:space="preserve">is </w:t>
      </w:r>
      <w:r w:rsidRPr="0077091E">
        <w:t>al</w:t>
      </w:r>
      <w:r>
        <w:t xml:space="preserve">so published as ISO/DIS 19156) </w:t>
      </w:r>
      <w:r w:rsidRPr="0077091E">
        <w:t>provide</w:t>
      </w:r>
      <w:r>
        <w:t>s</w:t>
      </w:r>
      <w:r w:rsidRPr="0077091E">
        <w:t xml:space="preserve"> for the exchange of information describing observation acts and their results, both within and between different scientific and technical communities.</w:t>
      </w:r>
      <w:r>
        <w:t xml:space="preserve"> The standard also provides </w:t>
      </w:r>
      <w:r w:rsidRPr="0077091E">
        <w:t>XML schemas</w:t>
      </w:r>
      <w:r>
        <w:t xml:space="preserve"> (GML application schemas)</w:t>
      </w:r>
      <w:r w:rsidRPr="0077091E">
        <w:t xml:space="preserve"> for observations, and for features involved in sampling when making observations.</w:t>
      </w:r>
      <w:r w:rsidR="00A74D77">
        <w:t xml:space="preserve"> O&amp;M</w:t>
      </w:r>
      <w:r w:rsidRPr="0077091E">
        <w:t xml:space="preserve"> is an essential dependency for the OGC Sensor Observation Service (SOS) Interface Standard.</w:t>
      </w:r>
    </w:p>
    <w:p w14:paraId="19B6B736" w14:textId="71853AB6" w:rsidR="00C058AC" w:rsidRDefault="00C058AC" w:rsidP="00C058AC">
      <w:pPr>
        <w:pStyle w:val="Heading3"/>
      </w:pPr>
      <w:bookmarkStart w:id="192" w:name="_Toc291251563"/>
      <w:r>
        <w:t>SensorML</w:t>
      </w:r>
      <w:bookmarkEnd w:id="192"/>
    </w:p>
    <w:p w14:paraId="0D257850" w14:textId="4E431955" w:rsidR="00C058AC" w:rsidRDefault="00A74D77" w:rsidP="00C058AC">
      <w:r>
        <w:t xml:space="preserve">The OGC </w:t>
      </w:r>
      <w:hyperlink r:id="rId18" w:history="1">
        <w:r w:rsidRPr="00A74D77">
          <w:rPr>
            <w:rStyle w:val="Hyperlink"/>
          </w:rPr>
          <w:t>Sensor Model Language</w:t>
        </w:r>
      </w:hyperlink>
      <w:r w:rsidRPr="00A74D77">
        <w:t xml:space="preserve"> (SensorML) </w:t>
      </w:r>
      <w:r>
        <w:t xml:space="preserve">standard </w:t>
      </w:r>
      <w:r w:rsidRPr="00A74D77">
        <w:t>provide</w:t>
      </w:r>
      <w:r w:rsidR="001A5255">
        <w:t>s</w:t>
      </w:r>
      <w:r w:rsidRPr="00A74D77">
        <w:t xml:space="preserve"> a robust and semantically-tied means of defining processes and processing components associated with the measurement and post-measurement transformation of observations. This includes sensors and actuators as well as computational processes applied pre- and postmeasurement.</w:t>
      </w:r>
      <w:r w:rsidR="001A5255">
        <w:t xml:space="preserve"> SensorML</w:t>
      </w:r>
      <w:r w:rsidR="001A5255" w:rsidRPr="001A5255">
        <w:t xml:space="preserve"> is one of several implementation standards </w:t>
      </w:r>
      <w:r w:rsidR="001A5255">
        <w:t>resulting from</w:t>
      </w:r>
      <w:r w:rsidR="001A5255" w:rsidRPr="001A5255">
        <w:t xml:space="preserve"> OGC’s Sensor Web Enablement (SWE) activity.</w:t>
      </w:r>
    </w:p>
    <w:p w14:paraId="1F2A4FAB" w14:textId="42C464A0" w:rsidR="00C058AC" w:rsidRDefault="00C058AC" w:rsidP="00C058AC">
      <w:pPr>
        <w:pStyle w:val="Heading3"/>
      </w:pPr>
      <w:bookmarkStart w:id="193" w:name="_Toc291251564"/>
      <w:r>
        <w:t>OWS Context</w:t>
      </w:r>
      <w:bookmarkEnd w:id="193"/>
    </w:p>
    <w:p w14:paraId="24CC0ABB" w14:textId="033166E4" w:rsidR="00C058AC" w:rsidRDefault="009E6504" w:rsidP="00C058AC">
      <w:r w:rsidRPr="009E6504">
        <w:t xml:space="preserve">The </w:t>
      </w:r>
      <w:hyperlink r:id="rId19" w:history="1">
        <w:r w:rsidRPr="009E6504">
          <w:rPr>
            <w:rStyle w:val="Hyperlink"/>
          </w:rPr>
          <w:t>OGC Web Services Context Document</w:t>
        </w:r>
      </w:hyperlink>
      <w:r w:rsidRPr="009E6504">
        <w:t xml:space="preserve"> (OWS Context) </w:t>
      </w:r>
      <w:r>
        <w:t>encodes</w:t>
      </w:r>
      <w:r w:rsidRPr="009E6504">
        <w:t xml:space="preserve"> a set of configured information resources (service set) to be passed between applications prima</w:t>
      </w:r>
      <w:r>
        <w:t>rily as a collection of service invocations</w:t>
      </w:r>
      <w:r w:rsidRPr="009E6504">
        <w:t xml:space="preserve">. OWS Context is developed to support in-line content as well. </w:t>
      </w:r>
      <w:r>
        <w:t xml:space="preserve">OWS Context </w:t>
      </w:r>
      <w:r w:rsidRPr="009E6504">
        <w:t>support</w:t>
      </w:r>
      <w:r>
        <w:t>s</w:t>
      </w:r>
      <w:r w:rsidRPr="009E6504">
        <w:t xml:space="preserve"> use cases such as the</w:t>
      </w:r>
      <w:r>
        <w:t xml:space="preserve"> distribution of search results and</w:t>
      </w:r>
      <w:r w:rsidRPr="009E6504">
        <w:t xml:space="preserve"> the exchange of a set of resources such as OGC Web Feature Service (WFS), Web Map Service (WMS), Web Map Tile Service (WMTS), Web Coverage Service (WCS) and </w:t>
      </w:r>
      <w:r w:rsidRPr="009E6504">
        <w:lastRenderedPageBreak/>
        <w:t>others in a ‘</w:t>
      </w:r>
      <w:r>
        <w:rPr>
          <w:i/>
        </w:rPr>
        <w:t>Common Operating P</w:t>
      </w:r>
      <w:r w:rsidRPr="009E6504">
        <w:rPr>
          <w:i/>
        </w:rPr>
        <w:t>icture’</w:t>
      </w:r>
      <w:r w:rsidRPr="009E6504">
        <w:t>. Additionally OWS Context can deliver a set of configured processing services (Web Processing Service (WPS)) parameters to allow the processing to be reproduced on different nodes.</w:t>
      </w:r>
    </w:p>
    <w:p w14:paraId="03552CEA" w14:textId="77384EFF" w:rsidR="00C058AC" w:rsidRDefault="00A764A1" w:rsidP="00C058AC">
      <w:pPr>
        <w:pStyle w:val="Heading3"/>
      </w:pPr>
      <w:bookmarkStart w:id="194" w:name="_Toc291251565"/>
      <w:r>
        <w:t>CSW Record</w:t>
      </w:r>
      <w:bookmarkEnd w:id="194"/>
    </w:p>
    <w:p w14:paraId="4C51BFCF" w14:textId="25936EB3" w:rsidR="00A764A1" w:rsidRDefault="009E6504" w:rsidP="00A764A1">
      <w:r>
        <w:t xml:space="preserve">The OGC Catalog Services for the Web </w:t>
      </w:r>
      <w:hyperlink r:id="rId20" w:history="1">
        <w:r w:rsidRPr="009E6504">
          <w:rPr>
            <w:rStyle w:val="Hyperlink"/>
          </w:rPr>
          <w:t>csw:Record</w:t>
        </w:r>
      </w:hyperlink>
      <w:r>
        <w:t xml:space="preserve"> encodes 15 core queryable parameters for use in registering and searching for geospatial services and data. </w:t>
      </w:r>
      <w:r w:rsidRPr="009E6504">
        <w:t xml:space="preserve">The core queryables </w:t>
      </w:r>
      <w:r>
        <w:t>in</w:t>
      </w:r>
      <w:r w:rsidRPr="009E6504">
        <w:t xml:space="preserve"> csw:Record map directly to the 15 "clas</w:t>
      </w:r>
      <w:r>
        <w:t>sic" Dublin Core metadata terms.</w:t>
      </w:r>
    </w:p>
    <w:p w14:paraId="463B94EE" w14:textId="240A93CF" w:rsidR="00A764A1" w:rsidRDefault="009E6504" w:rsidP="00A764A1">
      <w:pPr>
        <w:pStyle w:val="Heading3"/>
      </w:pPr>
      <w:bookmarkStart w:id="195" w:name="_Toc291251566"/>
      <w:r>
        <w:t>GeoJSON</w:t>
      </w:r>
      <w:bookmarkEnd w:id="195"/>
    </w:p>
    <w:p w14:paraId="2BEC33B5" w14:textId="76CE93CF" w:rsidR="00A764A1" w:rsidRDefault="005F7546" w:rsidP="00A764A1">
      <w:hyperlink r:id="rId21" w:history="1">
        <w:r w:rsidR="009E6504" w:rsidRPr="007A5C17">
          <w:rPr>
            <w:rStyle w:val="Hyperlink"/>
          </w:rPr>
          <w:t>GeoJSON</w:t>
        </w:r>
      </w:hyperlink>
      <w:r w:rsidR="007A5C17">
        <w:t xml:space="preserve"> is an </w:t>
      </w:r>
      <w:hyperlink r:id="rId22" w:history="1">
        <w:r w:rsidR="007A5C17" w:rsidRPr="007A5C17">
          <w:rPr>
            <w:rStyle w:val="Hyperlink"/>
          </w:rPr>
          <w:t>IETF Internet Draft</w:t>
        </w:r>
      </w:hyperlink>
      <w:r w:rsidR="007A5C17">
        <w:t xml:space="preserve"> for a </w:t>
      </w:r>
      <w:hyperlink r:id="rId23" w:history="1">
        <w:r w:rsidR="009E6504" w:rsidRPr="007A5C17">
          <w:rPr>
            <w:rStyle w:val="Hyperlink"/>
          </w:rPr>
          <w:t>JSON</w:t>
        </w:r>
      </w:hyperlink>
      <w:r w:rsidR="009E6504">
        <w:t xml:space="preserve"> encoding of geospatial feature data that is generally consistent with a simple profile of OGC GML.</w:t>
      </w:r>
    </w:p>
    <w:p w14:paraId="79C394E5" w14:textId="77777777" w:rsidR="00B90450" w:rsidRDefault="00B90450" w:rsidP="00B90450">
      <w:pPr>
        <w:pStyle w:val="Heading3"/>
      </w:pPr>
      <w:bookmarkStart w:id="196" w:name="_Toc291251567"/>
      <w:r>
        <w:t>Sensor Networks: Sensor Network Reference Architecture (SNRA)</w:t>
      </w:r>
      <w:bookmarkEnd w:id="196"/>
    </w:p>
    <w:p w14:paraId="5F340E20" w14:textId="77777777" w:rsidR="00B90450" w:rsidRPr="00B90450" w:rsidRDefault="00B90450" w:rsidP="00B90450">
      <w:pPr>
        <w:spacing w:after="0"/>
        <w:rPr>
          <w:i/>
          <w:szCs w:val="22"/>
        </w:rPr>
      </w:pPr>
      <w:r w:rsidRPr="00B90450">
        <w:rPr>
          <w:i/>
          <w:szCs w:val="22"/>
        </w:rPr>
        <w:t>ISO/IEC 29182-1:2013, Information technology -- Sensor networks: Sensor Network Reference Architecture (SNRA) -- Part 1: General overview and requirements</w:t>
      </w:r>
    </w:p>
    <w:p w14:paraId="6B0EC20E" w14:textId="77777777" w:rsidR="00B90450" w:rsidRPr="00B90450" w:rsidRDefault="005F7546" w:rsidP="00B90450">
      <w:pPr>
        <w:spacing w:before="0"/>
        <w:rPr>
          <w:i/>
          <w:szCs w:val="22"/>
        </w:rPr>
      </w:pPr>
      <w:hyperlink r:id="rId24" w:history="1">
        <w:r w:rsidR="00B90450" w:rsidRPr="00B90450">
          <w:rPr>
            <w:rStyle w:val="Hyperlink"/>
            <w:i/>
            <w:szCs w:val="22"/>
          </w:rPr>
          <w:t>http://www.iso.org/iso/iso_catalogue/catalogue_tc/catalogue_detail.htm?csnumber=45261</w:t>
        </w:r>
      </w:hyperlink>
    </w:p>
    <w:p w14:paraId="30378A86" w14:textId="77777777" w:rsidR="00B90450" w:rsidRPr="00B90450" w:rsidRDefault="00B90450" w:rsidP="00B90450">
      <w:pPr>
        <w:spacing w:before="0" w:after="0"/>
        <w:rPr>
          <w:szCs w:val="22"/>
        </w:rPr>
      </w:pPr>
      <w:r w:rsidRPr="00B90450">
        <w:rPr>
          <w:szCs w:val="22"/>
        </w:rPr>
        <w:t>The purpose of the ISO/IEC 29182 series is to</w:t>
      </w:r>
    </w:p>
    <w:p w14:paraId="5DC9FED6" w14:textId="77777777" w:rsidR="00B90450" w:rsidRPr="00B90450" w:rsidRDefault="00B90450" w:rsidP="00B90450">
      <w:pPr>
        <w:pStyle w:val="ListParagraph"/>
        <w:numPr>
          <w:ilvl w:val="0"/>
          <w:numId w:val="85"/>
        </w:numPr>
        <w:spacing w:after="0"/>
      </w:pPr>
      <w:r w:rsidRPr="00B90450">
        <w:t>Provide guidance to facilitate the design and development of sensor networks</w:t>
      </w:r>
    </w:p>
    <w:p w14:paraId="29422E83" w14:textId="77777777" w:rsidR="00B90450" w:rsidRPr="00B90450" w:rsidRDefault="00B90450" w:rsidP="00B90450">
      <w:pPr>
        <w:pStyle w:val="ListParagraph"/>
        <w:numPr>
          <w:ilvl w:val="0"/>
          <w:numId w:val="85"/>
        </w:numPr>
        <w:spacing w:after="0"/>
      </w:pPr>
      <w:r w:rsidRPr="00B90450">
        <w:t>Improve interoperability of sensor networks</w:t>
      </w:r>
    </w:p>
    <w:p w14:paraId="6AFF181A" w14:textId="77777777" w:rsidR="00B90450" w:rsidRPr="00B90450" w:rsidRDefault="00B90450" w:rsidP="00B90450">
      <w:pPr>
        <w:pStyle w:val="ListParagraph"/>
        <w:numPr>
          <w:ilvl w:val="0"/>
          <w:numId w:val="85"/>
        </w:numPr>
        <w:spacing w:after="0"/>
      </w:pPr>
      <w:r w:rsidRPr="00B90450">
        <w:t>Make sensor networks plug-and-play, so that it becomes fairly easy to add/remove sensor nodes to/from an existing sensor network</w:t>
      </w:r>
    </w:p>
    <w:p w14:paraId="574C8658" w14:textId="77777777" w:rsidR="00B90450" w:rsidRPr="00B90450" w:rsidRDefault="00B90450" w:rsidP="00B90450">
      <w:pPr>
        <w:spacing w:after="0"/>
        <w:rPr>
          <w:szCs w:val="22"/>
        </w:rPr>
      </w:pPr>
      <w:r w:rsidRPr="00B90450">
        <w:rPr>
          <w:szCs w:val="22"/>
        </w:rPr>
        <w:t>Part 1 as referenced here provides a general overview and the requirements for the sensor network reference architecture.</w:t>
      </w:r>
    </w:p>
    <w:p w14:paraId="2DCAC333" w14:textId="77777777" w:rsidR="00B90450" w:rsidRPr="00B90450" w:rsidRDefault="00B90450" w:rsidP="00B90450">
      <w:pPr>
        <w:keepNext/>
        <w:rPr>
          <w:szCs w:val="22"/>
        </w:rPr>
      </w:pPr>
      <w:r w:rsidRPr="00B90450">
        <w:rPr>
          <w:szCs w:val="22"/>
        </w:rPr>
        <w:t>The following diagram shows two sensor networks connected to a backbone network or other entities. Gateways provide sensor networks with connectivity to other networks through access networks.</w:t>
      </w:r>
    </w:p>
    <w:p w14:paraId="56AF3E36" w14:textId="77777777" w:rsidR="00B90450" w:rsidRDefault="00B90450" w:rsidP="00B90450">
      <w:pPr>
        <w:keepNext/>
        <w:jc w:val="center"/>
      </w:pPr>
      <w:r>
        <w:drawing>
          <wp:inline distT="0" distB="0" distL="0" distR="0" wp14:anchorId="43A92977" wp14:editId="4BA887C8">
            <wp:extent cx="4572000" cy="2435693"/>
            <wp:effectExtent l="0" t="0" r="0" b="3175"/>
            <wp:docPr id="2" name="Picture 2" descr="Macintosh HD:Users:lewisleinenweber:Documents:Files_OGC_2:OGC_2:_OGC Initiatives-Opportunities:Virtual USA:_Work Plans:IMIS IoT:Reference Materials:ISO/JTC:JTC-1 Sensor Networks SNRA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lewisleinenweber:Documents:Files_OGC_2:OGC_2:_OGC Initiatives-Opportunities:Virtual USA:_Work Plans:IMIS IoT:Reference Materials:ISO/JTC:JTC-1 Sensor Networks SNRA diagr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435693"/>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BF290C9" w14:textId="77777777" w:rsidR="00B90450" w:rsidRPr="00A764A1" w:rsidRDefault="00B90450" w:rsidP="00B90450">
      <w:pPr>
        <w:pStyle w:val="Caption"/>
      </w:pPr>
      <w:bookmarkStart w:id="197" w:name="_Toc291251588"/>
      <w:r>
        <w:t xml:space="preserve">Figure </w:t>
      </w:r>
      <w:r>
        <w:fldChar w:fldCharType="begin"/>
      </w:r>
      <w:r>
        <w:instrText xml:space="preserve"> SEQ Figure \* ARABIC </w:instrText>
      </w:r>
      <w:r>
        <w:fldChar w:fldCharType="separate"/>
      </w:r>
      <w:r w:rsidR="005F7546">
        <w:t>1</w:t>
      </w:r>
      <w:r>
        <w:fldChar w:fldCharType="end"/>
      </w:r>
      <w:r>
        <w:t>, Sensor Network Connectivity</w:t>
      </w:r>
      <w:bookmarkEnd w:id="197"/>
    </w:p>
    <w:p w14:paraId="1F886998" w14:textId="77777777" w:rsidR="00A764A1" w:rsidRPr="00A764A1" w:rsidRDefault="00A764A1" w:rsidP="00A764A1"/>
    <w:p w14:paraId="4DBC56E9" w14:textId="77777777" w:rsidR="00C414E5" w:rsidRDefault="00C414E5" w:rsidP="00B90450">
      <w:pPr>
        <w:pStyle w:val="Heading1"/>
        <w:keepNext/>
      </w:pPr>
      <w:bookmarkStart w:id="198" w:name="_Toc34475960"/>
      <w:bookmarkStart w:id="199" w:name="_Toc35536836"/>
      <w:bookmarkStart w:id="200" w:name="_Toc291251568"/>
      <w:r>
        <w:lastRenderedPageBreak/>
        <w:t>Computational Viewpoint</w:t>
      </w:r>
      <w:bookmarkEnd w:id="198"/>
      <w:bookmarkEnd w:id="199"/>
      <w:bookmarkEnd w:id="200"/>
    </w:p>
    <w:p w14:paraId="5292CDD6" w14:textId="77777777" w:rsidR="00C414E5" w:rsidRDefault="00C414E5" w:rsidP="00393573">
      <w:pPr>
        <w:pStyle w:val="Heading2"/>
      </w:pPr>
      <w:bookmarkStart w:id="201" w:name="_Toc35536837"/>
      <w:bookmarkStart w:id="202" w:name="_Toc291251569"/>
      <w:r>
        <w:t>Overview</w:t>
      </w:r>
      <w:bookmarkEnd w:id="201"/>
      <w:bookmarkEnd w:id="202"/>
    </w:p>
    <w:p w14:paraId="50B2E5A0" w14:textId="4ACD2A7A" w:rsidR="00407BAA" w:rsidRPr="000C3438" w:rsidRDefault="00A764A1" w:rsidP="003433AC">
      <w:r>
        <w:t xml:space="preserve">The computational viewpoint is concerned with the functional decomposition of the system into components, which allow clients and servers to interact at interfaces. This viewpoint captures the details of the components and interfaces that form the building blocks of the </w:t>
      </w:r>
      <w:r w:rsidR="003B441B">
        <w:t xml:space="preserve">target </w:t>
      </w:r>
      <w:r>
        <w:t xml:space="preserve">system without </w:t>
      </w:r>
      <w:r w:rsidR="003B441B">
        <w:t>necessarily constraining either the technology platforms, overall system organization, or physical distribution of an implementation</w:t>
      </w:r>
      <w:r>
        <w:t>.</w:t>
      </w:r>
    </w:p>
    <w:p w14:paraId="156CD5FD" w14:textId="19F9312E" w:rsidR="00FD7AC2" w:rsidRDefault="00FD7AC2" w:rsidP="00393573">
      <w:pPr>
        <w:pStyle w:val="Heading2"/>
      </w:pPr>
      <w:bookmarkStart w:id="203" w:name="_Toc291251570"/>
      <w:bookmarkStart w:id="204" w:name="_Toc35536838"/>
      <w:r>
        <w:t>Protocol Layer Standards</w:t>
      </w:r>
      <w:bookmarkEnd w:id="203"/>
    </w:p>
    <w:p w14:paraId="0B5A158B" w14:textId="1307BB63" w:rsidR="00FD7AC2" w:rsidRDefault="00FD7AC2" w:rsidP="00FD7AC2">
      <w:r>
        <w:t>This section identifies communications layer protocols that provide message handling, queuing, mesh networking, device discovery, and other capabilities</w:t>
      </w:r>
      <w:r w:rsidR="003B441B">
        <w:t>,</w:t>
      </w:r>
      <w:r>
        <w:t xml:space="preserve"> particularly in support of the local network</w:t>
      </w:r>
      <w:r w:rsidR="003B441B">
        <w:t>s</w:t>
      </w:r>
      <w:r>
        <w:t xml:space="preserve"> </w:t>
      </w:r>
      <w:r w:rsidR="003B441B">
        <w:t>involving</w:t>
      </w:r>
      <w:r>
        <w:t xml:space="preserve"> inexpensive, low-power sensors. A selection of protocol standards</w:t>
      </w:r>
      <w:r w:rsidR="00CF5CFC">
        <w:t xml:space="preserve"> that </w:t>
      </w:r>
      <w:r w:rsidR="003B441B">
        <w:t>might</w:t>
      </w:r>
      <w:r w:rsidR="00CF5CFC">
        <w:t xml:space="preserve"> be used in this project</w:t>
      </w:r>
      <w:r>
        <w:t xml:space="preserve"> is listed below.</w:t>
      </w:r>
      <w:r w:rsidR="00CE675B">
        <w:t xml:space="preserve"> This is a representative list, but additional standards may be identified in the course of the initiative.</w:t>
      </w:r>
    </w:p>
    <w:p w14:paraId="5BA5C434" w14:textId="77777777" w:rsidR="00FD7AC2" w:rsidRPr="00C22865" w:rsidRDefault="00FD7AC2" w:rsidP="00EB2E3B">
      <w:pPr>
        <w:keepNext/>
        <w:rPr>
          <w:rFonts w:ascii="Arial" w:hAnsi="Arial" w:cs="Arial"/>
          <w:b/>
        </w:rPr>
      </w:pPr>
      <w:r w:rsidRPr="00C22865">
        <w:rPr>
          <w:rFonts w:ascii="Arial" w:hAnsi="Arial" w:cs="Arial"/>
          <w:b/>
        </w:rPr>
        <w:t>Interface Standards:</w:t>
      </w:r>
    </w:p>
    <w:p w14:paraId="0164D4C3" w14:textId="177307F0" w:rsidR="00FD7AC2" w:rsidRDefault="00FD7AC2" w:rsidP="00FD7AC2">
      <w:pPr>
        <w:numPr>
          <w:ilvl w:val="0"/>
          <w:numId w:val="17"/>
        </w:numPr>
        <w:spacing w:before="0" w:after="0"/>
        <w:contextualSpacing/>
        <w:rPr>
          <w:szCs w:val="22"/>
        </w:rPr>
      </w:pPr>
      <w:r>
        <w:rPr>
          <w:szCs w:val="22"/>
        </w:rPr>
        <w:t>Zigbee</w:t>
      </w:r>
    </w:p>
    <w:p w14:paraId="6D31AA5A" w14:textId="31586FBC" w:rsidR="00FD7AC2" w:rsidRDefault="00D16CC6" w:rsidP="00FD7AC2">
      <w:pPr>
        <w:numPr>
          <w:ilvl w:val="0"/>
          <w:numId w:val="17"/>
        </w:numPr>
        <w:spacing w:before="0" w:after="0"/>
        <w:contextualSpacing/>
        <w:rPr>
          <w:szCs w:val="22"/>
        </w:rPr>
      </w:pPr>
      <w:r>
        <w:rPr>
          <w:szCs w:val="22"/>
        </w:rPr>
        <w:t>XMPP</w:t>
      </w:r>
    </w:p>
    <w:p w14:paraId="28C34582" w14:textId="64110100" w:rsidR="00D16CC6" w:rsidRDefault="00D16CC6" w:rsidP="00FD7AC2">
      <w:pPr>
        <w:numPr>
          <w:ilvl w:val="0"/>
          <w:numId w:val="17"/>
        </w:numPr>
        <w:spacing w:before="0" w:after="0"/>
        <w:contextualSpacing/>
        <w:rPr>
          <w:szCs w:val="22"/>
        </w:rPr>
      </w:pPr>
      <w:r>
        <w:rPr>
          <w:szCs w:val="22"/>
        </w:rPr>
        <w:t>MQTT</w:t>
      </w:r>
    </w:p>
    <w:p w14:paraId="7B603C28" w14:textId="1B486412" w:rsidR="00D16CC6" w:rsidRDefault="00D16CC6" w:rsidP="00FD7AC2">
      <w:pPr>
        <w:numPr>
          <w:ilvl w:val="0"/>
          <w:numId w:val="17"/>
        </w:numPr>
        <w:spacing w:before="0" w:after="0"/>
        <w:contextualSpacing/>
        <w:rPr>
          <w:szCs w:val="22"/>
        </w:rPr>
      </w:pPr>
      <w:r>
        <w:rPr>
          <w:szCs w:val="22"/>
        </w:rPr>
        <w:t>CoAP</w:t>
      </w:r>
    </w:p>
    <w:p w14:paraId="0A6A2571" w14:textId="6A5D3D8F" w:rsidR="00D16CC6" w:rsidRPr="00FB4E4A" w:rsidRDefault="00D16CC6" w:rsidP="00FB4E4A">
      <w:pPr>
        <w:numPr>
          <w:ilvl w:val="0"/>
          <w:numId w:val="17"/>
        </w:numPr>
        <w:spacing w:before="0" w:after="0"/>
        <w:contextualSpacing/>
        <w:rPr>
          <w:szCs w:val="22"/>
        </w:rPr>
      </w:pPr>
      <w:r>
        <w:rPr>
          <w:szCs w:val="22"/>
        </w:rPr>
        <w:t>DDS</w:t>
      </w:r>
    </w:p>
    <w:p w14:paraId="1E003E7E" w14:textId="77777777" w:rsidR="00D16CC6" w:rsidRDefault="00D16CC6" w:rsidP="00D16CC6">
      <w:pPr>
        <w:spacing w:before="0" w:after="0"/>
        <w:contextualSpacing/>
        <w:rPr>
          <w:szCs w:val="22"/>
        </w:rPr>
      </w:pPr>
    </w:p>
    <w:p w14:paraId="23E87B84" w14:textId="023B6711" w:rsidR="00D16CC6" w:rsidRDefault="00E409B7" w:rsidP="00D16CC6">
      <w:pPr>
        <w:pStyle w:val="Heading3"/>
      </w:pPr>
      <w:bookmarkStart w:id="205" w:name="_Toc291251571"/>
      <w:r>
        <w:t>ZigB</w:t>
      </w:r>
      <w:r w:rsidR="00D16CC6">
        <w:t>ee</w:t>
      </w:r>
      <w:bookmarkEnd w:id="205"/>
    </w:p>
    <w:p w14:paraId="55E09D64" w14:textId="7ED2DA2E" w:rsidR="00D16CC6" w:rsidRPr="00D16CC6" w:rsidRDefault="00C407B6" w:rsidP="00D16CC6">
      <w:r w:rsidRPr="00C407B6">
        <w:t xml:space="preserve">The </w:t>
      </w:r>
      <w:hyperlink r:id="rId26" w:history="1">
        <w:r w:rsidRPr="00C407B6">
          <w:rPr>
            <w:rStyle w:val="Hyperlink"/>
          </w:rPr>
          <w:t>ZigBee</w:t>
        </w:r>
      </w:hyperlink>
      <w:r w:rsidRPr="00C407B6">
        <w:t xml:space="preserve"> specification offers full mesh networking capable of supporting thousands of devices on a single network. The current ZigBee 2012</w:t>
      </w:r>
      <w:r>
        <w:t xml:space="preserve"> specification</w:t>
      </w:r>
      <w:r w:rsidRPr="00C407B6">
        <w:t xml:space="preserve"> </w:t>
      </w:r>
      <w:r>
        <w:t>(</w:t>
      </w:r>
      <w:r w:rsidRPr="00C407B6">
        <w:t>ZigBee PRO</w:t>
      </w:r>
      <w:r>
        <w:t>)</w:t>
      </w:r>
      <w:r w:rsidRPr="00C407B6">
        <w:t xml:space="preserve"> has become the primary development choice for low-power networking in IoT applications</w:t>
      </w:r>
      <w:r w:rsidR="0035417C">
        <w:t>. It</w:t>
      </w:r>
      <w:r w:rsidRPr="00C407B6">
        <w:t xml:space="preserve"> facilitates ease-of-use and advanced support for larger networks comprised of thousands of devices.</w:t>
      </w:r>
    </w:p>
    <w:p w14:paraId="28D73778" w14:textId="77777777" w:rsidR="00D16CC6" w:rsidRDefault="00D16CC6" w:rsidP="00D16CC6">
      <w:pPr>
        <w:pStyle w:val="Heading3"/>
      </w:pPr>
      <w:bookmarkStart w:id="206" w:name="_Toc291251572"/>
      <w:r>
        <w:t>XMPP</w:t>
      </w:r>
      <w:bookmarkEnd w:id="206"/>
    </w:p>
    <w:p w14:paraId="2502D74D" w14:textId="285155DB" w:rsidR="00D16CC6" w:rsidRPr="00D16CC6" w:rsidRDefault="00E409B7" w:rsidP="00D16CC6">
      <w:r w:rsidRPr="00E409B7">
        <w:t xml:space="preserve">The </w:t>
      </w:r>
      <w:hyperlink r:id="rId27" w:history="1">
        <w:r w:rsidRPr="00E409B7">
          <w:rPr>
            <w:rStyle w:val="Hyperlink"/>
          </w:rPr>
          <w:t>Extensible Messaging and Presence Protocol</w:t>
        </w:r>
      </w:hyperlink>
      <w:r w:rsidRPr="00E409B7">
        <w:t xml:space="preserve"> (XMPP) is an open technology for real-time communication, which powers a wide range of applications including instant messaging, presence, multi-party chat, voice and video calls, collaboration, lightweight middleware, content syndication, and generalized routing of XML data.</w:t>
      </w:r>
      <w:r>
        <w:t xml:space="preserve"> A series of specifications make up the </w:t>
      </w:r>
      <w:hyperlink r:id="rId28" w:history="1">
        <w:r w:rsidRPr="00E409B7">
          <w:rPr>
            <w:rStyle w:val="Hyperlink"/>
          </w:rPr>
          <w:t>XMPP protocol stack</w:t>
        </w:r>
      </w:hyperlink>
      <w:r>
        <w:t xml:space="preserve">, including proposed </w:t>
      </w:r>
      <w:hyperlink r:id="rId29" w:history="1">
        <w:r w:rsidRPr="00E409B7">
          <w:rPr>
            <w:rStyle w:val="Hyperlink"/>
          </w:rPr>
          <w:t>extensions for IoT</w:t>
        </w:r>
      </w:hyperlink>
      <w:r>
        <w:t xml:space="preserve">. </w:t>
      </w:r>
    </w:p>
    <w:p w14:paraId="6377B921" w14:textId="77777777" w:rsidR="00D16CC6" w:rsidRDefault="00D16CC6" w:rsidP="00D16CC6">
      <w:pPr>
        <w:pStyle w:val="Heading3"/>
      </w:pPr>
      <w:bookmarkStart w:id="207" w:name="_Toc291251573"/>
      <w:r>
        <w:t>MQTT</w:t>
      </w:r>
      <w:bookmarkEnd w:id="207"/>
    </w:p>
    <w:p w14:paraId="790A73DE" w14:textId="032FBF99" w:rsidR="00D16CC6" w:rsidRPr="00D16CC6" w:rsidRDefault="005F7546" w:rsidP="00D16CC6">
      <w:hyperlink r:id="rId30" w:history="1">
        <w:r w:rsidR="00E409B7" w:rsidRPr="00E409B7">
          <w:rPr>
            <w:rStyle w:val="Hyperlink"/>
          </w:rPr>
          <w:t>MQTT</w:t>
        </w:r>
      </w:hyperlink>
      <w:r w:rsidR="00E409B7">
        <w:t xml:space="preserve"> (Message Queue Telemetry Transport)</w:t>
      </w:r>
      <w:r w:rsidR="00E409B7" w:rsidRPr="00E409B7">
        <w:t xml:space="preserve"> is a machine-to-machine (M2M)/"Internet of Things" connectivity protocol. It was designed as an extremely lightweight publish/subscribe messaging transport. It is useful for connections with remote locations where a small code footprint is required and/or network bandwidth is at a premium. For example, it has been used in sensors communicating to a broker via satellite link, over occasional dial-up connections with healthcare providers, and in a range of home automation and small device scenarios. It is also ideal for mobile applications because of its small size, low power usage, minimised data packets, and efficient distribution of information to one or many receivers</w:t>
      </w:r>
      <w:r w:rsidR="00E409B7">
        <w:t>. There is a a particular version of MQTT (</w:t>
      </w:r>
      <w:hyperlink r:id="rId31" w:history="1">
        <w:r w:rsidR="00E409B7" w:rsidRPr="00E409B7">
          <w:rPr>
            <w:rStyle w:val="Hyperlink"/>
          </w:rPr>
          <w:t>MQTT-SN</w:t>
        </w:r>
      </w:hyperlink>
      <w:r w:rsidR="00E409B7">
        <w:t>) adapted for low-power wireless network such as those based on ZigBee</w:t>
      </w:r>
    </w:p>
    <w:p w14:paraId="03060C38" w14:textId="77777777" w:rsidR="00D16CC6" w:rsidRDefault="00D16CC6" w:rsidP="00D16CC6">
      <w:pPr>
        <w:pStyle w:val="Heading3"/>
      </w:pPr>
      <w:bookmarkStart w:id="208" w:name="_Toc291251574"/>
      <w:r>
        <w:lastRenderedPageBreak/>
        <w:t>CoAP</w:t>
      </w:r>
      <w:bookmarkEnd w:id="208"/>
    </w:p>
    <w:p w14:paraId="210C161E" w14:textId="62F881C0" w:rsidR="00D16CC6" w:rsidRPr="00D16CC6" w:rsidRDefault="00ED28DD" w:rsidP="00ED28DD">
      <w:pPr>
        <w:spacing w:before="0" w:after="0"/>
      </w:pPr>
      <w:r>
        <w:t xml:space="preserve">The </w:t>
      </w:r>
      <w:hyperlink r:id="rId32" w:history="1">
        <w:r w:rsidRPr="00ED28DD">
          <w:rPr>
            <w:rStyle w:val="Hyperlink"/>
          </w:rPr>
          <w:t>Constrained Application Protocol</w:t>
        </w:r>
      </w:hyperlink>
      <w:r>
        <w:t xml:space="preserve"> (CoAP) is a specialized web transfer protocol for use with constrained nodes and constrained (e.g., low-power, lossy) networks. The protocol is designed for machine-to-machine (M2M) applications such as smart energy and building automation. CoAP provides a request/response interaction model between application endpoints, supports built-in discovery of services and resources, and includes key concepts of the Web such as URIs and Internet media types.  CoAP is designed to easily interface with HTTP for integration with the Web while meeting specialized requirements such as multicast support, very low overhead, and simplicity for constrained environments. CoAP specified in IETF Standards Track RFC 7252.</w:t>
      </w:r>
    </w:p>
    <w:p w14:paraId="1A0F8308" w14:textId="77777777" w:rsidR="00D16CC6" w:rsidRDefault="00D16CC6" w:rsidP="00D16CC6">
      <w:pPr>
        <w:pStyle w:val="Heading3"/>
      </w:pPr>
      <w:bookmarkStart w:id="209" w:name="_Toc291251575"/>
      <w:r>
        <w:t>DDS</w:t>
      </w:r>
      <w:bookmarkEnd w:id="209"/>
    </w:p>
    <w:p w14:paraId="4A3FE812" w14:textId="7ABAC611" w:rsidR="00FD7AC2" w:rsidRDefault="00ED28DD" w:rsidP="00ED28DD">
      <w:r>
        <w:t xml:space="preserve">The OMG </w:t>
      </w:r>
      <w:hyperlink r:id="rId33" w:history="1">
        <w:r w:rsidRPr="00ED28DD">
          <w:rPr>
            <w:rStyle w:val="Hyperlink"/>
          </w:rPr>
          <w:t>Data-Distribution Service for Real-Time Systems</w:t>
        </w:r>
      </w:hyperlink>
      <w:r>
        <w:t xml:space="preserve"> (DDS) is an open international middleware standard directly addressing publish-subscribe communications for real-time and embedded systems. DDS specifies a virtual Global Data Space where applications can share information by reading and writing data-objects addressed by Topic and key. DDS features extensive control of QoS parameters and also supports the construction of local object models on top of the Global Data Space.</w:t>
      </w:r>
    </w:p>
    <w:p w14:paraId="50044A29" w14:textId="77777777" w:rsidR="00FD7AC2" w:rsidRPr="00FD7AC2" w:rsidRDefault="00FD7AC2" w:rsidP="00FD7AC2"/>
    <w:p w14:paraId="7A200DCD" w14:textId="0088A69F" w:rsidR="00C414E5" w:rsidRDefault="00C414E5" w:rsidP="00393573">
      <w:pPr>
        <w:pStyle w:val="Heading2"/>
      </w:pPr>
      <w:bookmarkStart w:id="210" w:name="_Toc291251576"/>
      <w:r>
        <w:t xml:space="preserve">Service </w:t>
      </w:r>
      <w:bookmarkEnd w:id="204"/>
      <w:r w:rsidR="00FD7AC2">
        <w:t xml:space="preserve">Layer </w:t>
      </w:r>
      <w:r w:rsidR="005C31EE">
        <w:t>Standards</w:t>
      </w:r>
      <w:bookmarkEnd w:id="210"/>
    </w:p>
    <w:p w14:paraId="2AAC767E" w14:textId="2E43F5DE" w:rsidR="00CE675B" w:rsidRDefault="00FA086C" w:rsidP="00CE675B">
      <w:r>
        <w:t>This section</w:t>
      </w:r>
      <w:r w:rsidR="00BD66F7">
        <w:t xml:space="preserve"> </w:t>
      </w:r>
      <w:r w:rsidR="00B03FB7">
        <w:t>identifies</w:t>
      </w:r>
      <w:r>
        <w:t xml:space="preserve"> </w:t>
      </w:r>
      <w:r w:rsidR="00B03FB7">
        <w:t xml:space="preserve">OGC </w:t>
      </w:r>
      <w:r w:rsidR="003B441B">
        <w:t xml:space="preserve">Web </w:t>
      </w:r>
      <w:r w:rsidR="00B03FB7">
        <w:t>service standards</w:t>
      </w:r>
      <w:r>
        <w:t xml:space="preserve"> </w:t>
      </w:r>
      <w:r w:rsidR="00B03FB7">
        <w:t>that handle</w:t>
      </w:r>
      <w:r>
        <w:t xml:space="preserve"> data types, standards, and </w:t>
      </w:r>
      <w:r w:rsidR="00B03FB7">
        <w:t xml:space="preserve">other geospatial information </w:t>
      </w:r>
      <w:r>
        <w:t xml:space="preserve">sources </w:t>
      </w:r>
      <w:r w:rsidR="00BD66F7">
        <w:t xml:space="preserve">that may be involved </w:t>
      </w:r>
      <w:r>
        <w:t xml:space="preserve">in use cases and specified in the </w:t>
      </w:r>
      <w:r w:rsidR="004360EC">
        <w:t xml:space="preserve">Enterprise </w:t>
      </w:r>
      <w:r>
        <w:t>Viewpoint</w:t>
      </w:r>
      <w:r w:rsidR="00B03FB7">
        <w:t xml:space="preserve">. These standards </w:t>
      </w:r>
      <w:r w:rsidR="00BD66F7">
        <w:t>represent</w:t>
      </w:r>
      <w:r>
        <w:t xml:space="preserve"> </w:t>
      </w:r>
      <w:r w:rsidRPr="00273D98">
        <w:t xml:space="preserve">services and protocols </w:t>
      </w:r>
      <w:r w:rsidR="00872AD5">
        <w:t xml:space="preserve">that </w:t>
      </w:r>
      <w:r w:rsidR="00393573">
        <w:t xml:space="preserve">may be applicable in </w:t>
      </w:r>
      <w:r w:rsidR="002628C1">
        <w:t xml:space="preserve">operational contexts, which use or process </w:t>
      </w:r>
      <w:r w:rsidR="00393573">
        <w:t>information described in Section</w:t>
      </w:r>
      <w:r w:rsidR="002628C1">
        <w:t xml:space="preserve"> </w:t>
      </w:r>
      <w:r w:rsidR="00E65BDF">
        <w:fldChar w:fldCharType="begin"/>
      </w:r>
      <w:r w:rsidR="00E65BDF">
        <w:instrText xml:space="preserve"> REF _Ref291132281 \r \h </w:instrText>
      </w:r>
      <w:r w:rsidR="00E65BDF">
        <w:fldChar w:fldCharType="separate"/>
      </w:r>
      <w:r w:rsidR="005F7546">
        <w:t>4</w:t>
      </w:r>
      <w:r w:rsidR="00E65BDF">
        <w:fldChar w:fldCharType="end"/>
      </w:r>
      <w:r>
        <w:t xml:space="preserve">.  </w:t>
      </w:r>
      <w:r w:rsidR="003B441B">
        <w:t xml:space="preserve">As Web services, these standards typically rely in turn on fundamental Web standards such as HTTP. </w:t>
      </w:r>
      <w:r w:rsidR="00CE675B">
        <w:t>Below is a partial, representative list of standards; however,</w:t>
      </w:r>
      <w:r w:rsidR="008D01DE">
        <w:t xml:space="preserve"> </w:t>
      </w:r>
      <w:r w:rsidR="00CE675B">
        <w:t>additional standards may be identified in the course of the initiative.</w:t>
      </w:r>
    </w:p>
    <w:p w14:paraId="38609CE8" w14:textId="77777777" w:rsidR="00FA086C" w:rsidRPr="00C22865" w:rsidRDefault="00FA086C" w:rsidP="00393573">
      <w:pPr>
        <w:rPr>
          <w:rFonts w:ascii="Arial" w:hAnsi="Arial" w:cs="Arial"/>
          <w:b/>
        </w:rPr>
      </w:pPr>
      <w:r w:rsidRPr="00C22865">
        <w:rPr>
          <w:rFonts w:ascii="Arial" w:hAnsi="Arial" w:cs="Arial"/>
          <w:b/>
        </w:rPr>
        <w:t xml:space="preserve">Interface </w:t>
      </w:r>
      <w:r w:rsidR="00E620A9" w:rsidRPr="00C22865">
        <w:rPr>
          <w:rFonts w:ascii="Arial" w:hAnsi="Arial" w:cs="Arial"/>
          <w:b/>
        </w:rPr>
        <w:t>Standards</w:t>
      </w:r>
      <w:r w:rsidRPr="00C22865">
        <w:rPr>
          <w:rFonts w:ascii="Arial" w:hAnsi="Arial" w:cs="Arial"/>
          <w:b/>
        </w:rPr>
        <w:t>:</w:t>
      </w:r>
    </w:p>
    <w:p w14:paraId="6D704459" w14:textId="48AA91E5" w:rsidR="00FA086C" w:rsidRDefault="005F7546" w:rsidP="00170342">
      <w:pPr>
        <w:numPr>
          <w:ilvl w:val="0"/>
          <w:numId w:val="17"/>
        </w:numPr>
        <w:spacing w:before="0" w:after="0"/>
        <w:contextualSpacing/>
        <w:rPr>
          <w:szCs w:val="22"/>
        </w:rPr>
      </w:pPr>
      <w:hyperlink r:id="rId34" w:history="1">
        <w:r w:rsidR="00FA086C">
          <w:rPr>
            <w:rStyle w:val="Hyperlink"/>
            <w:szCs w:val="22"/>
          </w:rPr>
          <w:t xml:space="preserve">OpenGIS </w:t>
        </w:r>
        <w:r w:rsidR="00FA086C" w:rsidRPr="00D40D4C">
          <w:rPr>
            <w:rStyle w:val="Hyperlink"/>
            <w:szCs w:val="22"/>
            <w:vertAlign w:val="superscript"/>
          </w:rPr>
          <w:t>®</w:t>
        </w:r>
        <w:r w:rsidR="00FA086C" w:rsidRPr="00D40D4C">
          <w:rPr>
            <w:rStyle w:val="Hyperlink"/>
            <w:szCs w:val="22"/>
          </w:rPr>
          <w:t xml:space="preserve"> Web Map Service (WMS)</w:t>
        </w:r>
      </w:hyperlink>
    </w:p>
    <w:p w14:paraId="06FB02E5" w14:textId="52ABDB2D" w:rsidR="00FA086C" w:rsidRPr="004027BD" w:rsidRDefault="005F7546" w:rsidP="00170342">
      <w:pPr>
        <w:numPr>
          <w:ilvl w:val="0"/>
          <w:numId w:val="17"/>
        </w:numPr>
        <w:spacing w:before="0" w:after="0"/>
        <w:contextualSpacing/>
        <w:rPr>
          <w:rStyle w:val="Hyperlink"/>
          <w:color w:val="auto"/>
          <w:szCs w:val="22"/>
          <w:u w:val="none"/>
        </w:rPr>
      </w:pPr>
      <w:hyperlink r:id="rId35" w:history="1">
        <w:r w:rsidR="00FA086C" w:rsidRPr="00D40D4C">
          <w:rPr>
            <w:rStyle w:val="Hyperlink"/>
            <w:szCs w:val="22"/>
          </w:rPr>
          <w:t xml:space="preserve">OpenGIS </w:t>
        </w:r>
        <w:r w:rsidR="00FA086C" w:rsidRPr="00D40D4C">
          <w:rPr>
            <w:rStyle w:val="Hyperlink"/>
            <w:szCs w:val="22"/>
            <w:vertAlign w:val="superscript"/>
          </w:rPr>
          <w:t>®</w:t>
        </w:r>
        <w:r w:rsidR="00FA086C" w:rsidRPr="00D40D4C">
          <w:rPr>
            <w:rStyle w:val="Hyperlink"/>
            <w:szCs w:val="22"/>
          </w:rPr>
          <w:t xml:space="preserve"> Web Feature Service (WFS)</w:t>
        </w:r>
      </w:hyperlink>
    </w:p>
    <w:p w14:paraId="46ABC39C" w14:textId="2153D948" w:rsidR="004027BD" w:rsidRPr="004027BD" w:rsidRDefault="004027BD" w:rsidP="00170342">
      <w:pPr>
        <w:numPr>
          <w:ilvl w:val="0"/>
          <w:numId w:val="17"/>
        </w:numPr>
        <w:spacing w:before="0" w:after="0"/>
        <w:contextualSpacing/>
        <w:rPr>
          <w:rStyle w:val="Hyperlink"/>
          <w:color w:val="auto"/>
          <w:szCs w:val="22"/>
          <w:u w:val="none"/>
        </w:rPr>
      </w:pPr>
      <w:r>
        <w:rPr>
          <w:rStyle w:val="Hyperlink"/>
          <w:szCs w:val="22"/>
        </w:rPr>
        <w:t>Catalog Service for the Web (CSW)</w:t>
      </w:r>
    </w:p>
    <w:p w14:paraId="467C158F" w14:textId="6959D61B" w:rsidR="004027BD" w:rsidRPr="004027BD" w:rsidRDefault="004027BD" w:rsidP="00170342">
      <w:pPr>
        <w:numPr>
          <w:ilvl w:val="0"/>
          <w:numId w:val="17"/>
        </w:numPr>
        <w:spacing w:before="0" w:after="0"/>
        <w:contextualSpacing/>
        <w:rPr>
          <w:rStyle w:val="Hyperlink"/>
          <w:color w:val="auto"/>
          <w:szCs w:val="22"/>
          <w:u w:val="none"/>
        </w:rPr>
      </w:pPr>
      <w:r>
        <w:rPr>
          <w:rStyle w:val="Hyperlink"/>
          <w:szCs w:val="22"/>
        </w:rPr>
        <w:t>Web Processing Service (WPS)</w:t>
      </w:r>
    </w:p>
    <w:p w14:paraId="28C359D4" w14:textId="2AB07C3B" w:rsidR="004027BD" w:rsidRPr="004027BD" w:rsidRDefault="004027BD" w:rsidP="00170342">
      <w:pPr>
        <w:numPr>
          <w:ilvl w:val="0"/>
          <w:numId w:val="17"/>
        </w:numPr>
        <w:spacing w:before="0" w:after="0"/>
        <w:contextualSpacing/>
        <w:rPr>
          <w:rStyle w:val="Hyperlink"/>
          <w:color w:val="auto"/>
          <w:szCs w:val="22"/>
          <w:u w:val="none"/>
        </w:rPr>
      </w:pPr>
      <w:r>
        <w:rPr>
          <w:rStyle w:val="Hyperlink"/>
          <w:szCs w:val="22"/>
        </w:rPr>
        <w:t>Sensor Observation Service (SOS)</w:t>
      </w:r>
    </w:p>
    <w:p w14:paraId="3677BD93" w14:textId="07FBC8E6" w:rsidR="004027BD" w:rsidRPr="004027BD" w:rsidRDefault="004027BD" w:rsidP="00170342">
      <w:pPr>
        <w:numPr>
          <w:ilvl w:val="0"/>
          <w:numId w:val="17"/>
        </w:numPr>
        <w:spacing w:before="0" w:after="0"/>
        <w:contextualSpacing/>
        <w:rPr>
          <w:rStyle w:val="Hyperlink"/>
          <w:color w:val="auto"/>
          <w:szCs w:val="22"/>
          <w:u w:val="none"/>
        </w:rPr>
      </w:pPr>
      <w:r>
        <w:rPr>
          <w:rStyle w:val="Hyperlink"/>
          <w:szCs w:val="22"/>
        </w:rPr>
        <w:t>Sensor Things API</w:t>
      </w:r>
    </w:p>
    <w:p w14:paraId="7D5383FF" w14:textId="6156CB63" w:rsidR="004027BD" w:rsidRPr="000F5245" w:rsidRDefault="004027BD" w:rsidP="00170342">
      <w:pPr>
        <w:numPr>
          <w:ilvl w:val="0"/>
          <w:numId w:val="17"/>
        </w:numPr>
        <w:spacing w:before="0" w:after="0"/>
        <w:contextualSpacing/>
        <w:rPr>
          <w:szCs w:val="22"/>
        </w:rPr>
      </w:pPr>
      <w:r>
        <w:rPr>
          <w:rStyle w:val="Hyperlink"/>
          <w:szCs w:val="22"/>
        </w:rPr>
        <w:t>Sensor Notification Service</w:t>
      </w:r>
    </w:p>
    <w:p w14:paraId="66AAC8B5" w14:textId="77777777" w:rsidR="00514C4F" w:rsidRDefault="00514C4F" w:rsidP="00514C4F">
      <w:pPr>
        <w:pStyle w:val="Heading3"/>
      </w:pPr>
      <w:bookmarkStart w:id="211" w:name="_Toc291251577"/>
      <w:bookmarkStart w:id="212" w:name="_Toc35536839"/>
      <w:r>
        <w:t>Web Mapping Service (WMS)</w:t>
      </w:r>
      <w:bookmarkEnd w:id="211"/>
    </w:p>
    <w:p w14:paraId="40E2A677" w14:textId="77777777" w:rsidR="00514C4F" w:rsidRDefault="00514C4F" w:rsidP="00514C4F">
      <w:r>
        <w:t xml:space="preserve">The OpenGIS® </w:t>
      </w:r>
      <w:hyperlink r:id="rId36" w:history="1">
        <w:r>
          <w:rPr>
            <w:rStyle w:val="Hyperlink"/>
          </w:rPr>
          <w:t>Web Map Service (WMS) Implementation Specification</w:t>
        </w:r>
      </w:hyperlink>
      <w:r>
        <w:t xml:space="preserve"> enables the creation and display of registered and superimposed map-like views of information that come simultaneously from multiple remote and heterogeneous sources.</w:t>
      </w:r>
    </w:p>
    <w:p w14:paraId="5218ED7C" w14:textId="77777777" w:rsidR="00514C4F" w:rsidRDefault="00514C4F" w:rsidP="00514C4F">
      <w:r>
        <w:t>When client and server software implements WMS, any client can access maps from any server. Any client can combine maps (overlay them like clear acetate sheets) from one or more servers. Any client can query information from a map provided by any server.</w:t>
      </w:r>
    </w:p>
    <w:p w14:paraId="215B881D" w14:textId="77777777" w:rsidR="00514C4F" w:rsidRDefault="00514C4F" w:rsidP="00514C4F">
      <w:r>
        <w:t>In particular WMS defines:</w:t>
      </w:r>
    </w:p>
    <w:p w14:paraId="4F8180C0" w14:textId="77777777" w:rsidR="00514C4F" w:rsidRDefault="00514C4F" w:rsidP="00514C4F">
      <w:pPr>
        <w:numPr>
          <w:ilvl w:val="0"/>
          <w:numId w:val="15"/>
        </w:numPr>
        <w:contextualSpacing/>
      </w:pPr>
      <w:r>
        <w:t>How to request and provide a map as a picture or set of features (GetMap)</w:t>
      </w:r>
    </w:p>
    <w:p w14:paraId="363512C7" w14:textId="77777777" w:rsidR="00514C4F" w:rsidRDefault="00514C4F" w:rsidP="00514C4F">
      <w:pPr>
        <w:numPr>
          <w:ilvl w:val="0"/>
          <w:numId w:val="15"/>
        </w:numPr>
        <w:contextualSpacing/>
      </w:pPr>
      <w:r>
        <w:t>How to get and provide information about the content of a map such as the value of a feature at a location (GetFeatureInfo)</w:t>
      </w:r>
    </w:p>
    <w:p w14:paraId="2D1E2BA5" w14:textId="77777777" w:rsidR="00514C4F" w:rsidRDefault="00514C4F" w:rsidP="00514C4F">
      <w:pPr>
        <w:numPr>
          <w:ilvl w:val="0"/>
          <w:numId w:val="15"/>
        </w:numPr>
        <w:contextualSpacing/>
      </w:pPr>
      <w:r>
        <w:t>How to get and provide information about what types of maps a server can deliver (GetCapabilities)</w:t>
      </w:r>
    </w:p>
    <w:p w14:paraId="797D1A20" w14:textId="77777777" w:rsidR="007F60FF" w:rsidRPr="007F60FF" w:rsidRDefault="00C414E5" w:rsidP="007F60FF">
      <w:pPr>
        <w:pStyle w:val="Heading3"/>
      </w:pPr>
      <w:bookmarkStart w:id="213" w:name="_Toc291251578"/>
      <w:r>
        <w:lastRenderedPageBreak/>
        <w:t>Web Feature Service (WFS)</w:t>
      </w:r>
      <w:bookmarkEnd w:id="212"/>
      <w:bookmarkEnd w:id="213"/>
    </w:p>
    <w:p w14:paraId="4F603EE0" w14:textId="77777777" w:rsidR="00C414E5" w:rsidRDefault="00C414E5" w:rsidP="00E620A9">
      <w:r>
        <w:t xml:space="preserve">The OpenGIS® </w:t>
      </w:r>
      <w:hyperlink r:id="rId37" w:history="1">
        <w:r>
          <w:rPr>
            <w:rStyle w:val="Hyperlink"/>
          </w:rPr>
          <w:t>Web Feature Service (WFS) Implementation Specification</w:t>
        </w:r>
      </w:hyperlink>
      <w:r>
        <w:t xml:space="preserve"> allows a client to retrieve geospatial data encoded in Geography Markup Language (GML) from multiple Web Feature Services. The specification defines interfaces for data access and manipulation operations on geographic features, using HTTP as the distributed computing platform. Via these interfaces, a Web user or service can combine, use and manage geodata -- the feature information behind a map image -- from different sources.</w:t>
      </w:r>
    </w:p>
    <w:p w14:paraId="070FE387" w14:textId="7EEF3F6A" w:rsidR="00A764A1" w:rsidRDefault="00A764A1" w:rsidP="00A764A1">
      <w:pPr>
        <w:pStyle w:val="Heading3"/>
      </w:pPr>
      <w:bookmarkStart w:id="214" w:name="_Toc291251579"/>
      <w:r>
        <w:t>Catalog</w:t>
      </w:r>
      <w:r w:rsidR="003E7B9D">
        <w:t>ue</w:t>
      </w:r>
      <w:r>
        <w:t xml:space="preserve"> Service for the Web(CSW)</w:t>
      </w:r>
      <w:bookmarkEnd w:id="214"/>
    </w:p>
    <w:p w14:paraId="3008226E" w14:textId="0EEF37BC" w:rsidR="00A764A1" w:rsidRDefault="003E7B9D" w:rsidP="001E68F4">
      <w:pPr>
        <w:jc w:val="both"/>
      </w:pPr>
      <w:r w:rsidRPr="003E7B9D">
        <w:t xml:space="preserve">OGC </w:t>
      </w:r>
      <w:hyperlink r:id="rId38" w:history="1">
        <w:r w:rsidRPr="003E7B9D">
          <w:rPr>
            <w:rStyle w:val="Hyperlink"/>
          </w:rPr>
          <w:t>Catalogue interface standards</w:t>
        </w:r>
      </w:hyperlink>
      <w:r w:rsidRPr="003E7B9D">
        <w:t xml:space="preserve"> specify the interfaces, bindings, and a framework for defining application profiles required to publish and access digital catalogues of metadata for geospatial data, services, and related resource information. Metadata act as generalised properties that can be queried and returned through catalogue services for resource evaluation and, in many cases, invocation or retrieval of the referenced resource. Catalogue services support the use of one of several identified query languages to find and return results using well-known content models (metadata schemas) and encodings.</w:t>
      </w:r>
      <w:r>
        <w:t xml:space="preserve"> </w:t>
      </w:r>
      <w:hyperlink r:id="rId39" w:history="1">
        <w:r w:rsidRPr="001E68F4">
          <w:rPr>
            <w:rStyle w:val="Hyperlink"/>
          </w:rPr>
          <w:t>Catalogue Service for the Web</w:t>
        </w:r>
      </w:hyperlink>
      <w:r>
        <w:t xml:space="preserve"> (CSW)</w:t>
      </w:r>
      <w:r w:rsidR="001E68F4">
        <w:t xml:space="preserve"> refers particularly to the implementation standard incorporating an HTTP binding. Version 3.0 of this specification includes </w:t>
      </w:r>
      <w:hyperlink r:id="rId40" w:history="1">
        <w:r w:rsidR="001E68F4" w:rsidRPr="001E68F4">
          <w:rPr>
            <w:rStyle w:val="Hyperlink"/>
          </w:rPr>
          <w:t>OpenSearch</w:t>
        </w:r>
      </w:hyperlink>
      <w:r w:rsidR="001E68F4">
        <w:t xml:space="preserve"> as an alternative query interface and template mechanism.</w:t>
      </w:r>
    </w:p>
    <w:p w14:paraId="61A6C2E8" w14:textId="42A3F11C" w:rsidR="00A764A1" w:rsidRPr="007F60FF" w:rsidRDefault="00A764A1" w:rsidP="00A764A1">
      <w:pPr>
        <w:pStyle w:val="Heading3"/>
      </w:pPr>
      <w:bookmarkStart w:id="215" w:name="_Toc291251580"/>
      <w:r>
        <w:t>Web Processing Service (WPS)</w:t>
      </w:r>
      <w:bookmarkEnd w:id="215"/>
    </w:p>
    <w:p w14:paraId="1947ACED" w14:textId="7B433EC1" w:rsidR="00A764A1" w:rsidRDefault="001E68F4" w:rsidP="00A764A1">
      <w:r w:rsidRPr="001E68F4">
        <w:t xml:space="preserve">The OGC </w:t>
      </w:r>
      <w:hyperlink r:id="rId41" w:history="1">
        <w:r w:rsidRPr="001E68F4">
          <w:rPr>
            <w:rStyle w:val="Hyperlink"/>
          </w:rPr>
          <w:t>Web Processing Service</w:t>
        </w:r>
      </w:hyperlink>
      <w:r w:rsidRPr="001E68F4">
        <w:t xml:space="preserve"> (WPS) Interface Standard provides a standard interface that simplifies the task of making simple or complex computational processing services accessible via web services. Such services include well-known processes found in GIS software as well as specialized processes for spatio-temporal modeling and simulation. While the OGC WPS standard was designed with spatial processing in mind, it can also be used to readily insert non-spatial processing tasks into a web services environment.</w:t>
      </w:r>
      <w:r>
        <w:t xml:space="preserve"> </w:t>
      </w:r>
      <w:r w:rsidRPr="001E68F4">
        <w:t>It supports both immediate processing for computational tasks that take little time and asynchronous processing for more complex and time consuming tasks. Moreover, the WPS standard defines a general process model that is designed to provide an interoperable description of processing functions. It is intended to support process cataloguing and discovery in a distributed environment.</w:t>
      </w:r>
    </w:p>
    <w:p w14:paraId="09E8BFCA" w14:textId="7DB8A7BE" w:rsidR="00A764A1" w:rsidRDefault="00A764A1" w:rsidP="00A764A1">
      <w:pPr>
        <w:pStyle w:val="Heading3"/>
      </w:pPr>
      <w:bookmarkStart w:id="216" w:name="_Toc291251581"/>
      <w:r>
        <w:t>Sensor Observation Service (SOS)</w:t>
      </w:r>
      <w:bookmarkEnd w:id="216"/>
    </w:p>
    <w:p w14:paraId="223E9EAE" w14:textId="6D813B82" w:rsidR="00A764A1" w:rsidRPr="00A764A1" w:rsidRDefault="001E68F4" w:rsidP="00A764A1">
      <w:r>
        <w:t xml:space="preserve">The OGC </w:t>
      </w:r>
      <w:hyperlink r:id="rId42" w:history="1">
        <w:r w:rsidRPr="001E68F4">
          <w:rPr>
            <w:rStyle w:val="Hyperlink"/>
          </w:rPr>
          <w:t>Sensor Observation Service</w:t>
        </w:r>
      </w:hyperlink>
      <w:r>
        <w:t xml:space="preserve"> (SOS) Interface Standard </w:t>
      </w:r>
      <w:r w:rsidRPr="001E68F4">
        <w:t>defines a Web service interface whic</w:t>
      </w:r>
      <w:r>
        <w:t xml:space="preserve">h allows querying observations and </w:t>
      </w:r>
      <w:r w:rsidRPr="001E68F4">
        <w:t xml:space="preserve">sensor metadata, as well as representations of observed features. </w:t>
      </w:r>
      <w:r>
        <w:t>It also defines</w:t>
      </w:r>
      <w:r w:rsidRPr="001E68F4">
        <w:t xml:space="preserve"> means to register new sensor</w:t>
      </w:r>
      <w:r>
        <w:t xml:space="preserve">s and to remove existing ones, as well as </w:t>
      </w:r>
      <w:r w:rsidRPr="001E68F4">
        <w:t xml:space="preserve">operations to insert new sensor observations. </w:t>
      </w:r>
      <w:r w:rsidR="00AA71C7">
        <w:t xml:space="preserve">The </w:t>
      </w:r>
      <w:r>
        <w:t xml:space="preserve">SOS </w:t>
      </w:r>
      <w:r w:rsidR="00AA71C7">
        <w:t xml:space="preserve">implementation specification </w:t>
      </w:r>
      <w:r>
        <w:t xml:space="preserve">includes </w:t>
      </w:r>
      <w:r w:rsidRPr="001E68F4">
        <w:t xml:space="preserve">two </w:t>
      </w:r>
      <w:r>
        <w:t>protocol bindings</w:t>
      </w:r>
      <w:r w:rsidRPr="001E68F4">
        <w:t>: a</w:t>
      </w:r>
      <w:r>
        <w:t>n HTTP URL-based key-value-pair (</w:t>
      </w:r>
      <w:r w:rsidRPr="001E68F4">
        <w:t>KVP</w:t>
      </w:r>
      <w:r>
        <w:t>)</w:t>
      </w:r>
      <w:r w:rsidRPr="001E68F4">
        <w:t xml:space="preserve"> binding and a SOAP binding.</w:t>
      </w:r>
    </w:p>
    <w:p w14:paraId="2665962A" w14:textId="09A4E257" w:rsidR="00A764A1" w:rsidRDefault="00A764A1" w:rsidP="00A764A1">
      <w:pPr>
        <w:pStyle w:val="Heading3"/>
      </w:pPr>
      <w:bookmarkStart w:id="217" w:name="_Toc291251582"/>
      <w:r>
        <w:t>Sensor Things API (STAPI)</w:t>
      </w:r>
      <w:bookmarkEnd w:id="217"/>
    </w:p>
    <w:p w14:paraId="3426BFFD" w14:textId="67A8A101" w:rsidR="004D76CC" w:rsidRDefault="004D76CC" w:rsidP="004D76CC">
      <w:r>
        <w:t xml:space="preserve">The OpenGIS </w:t>
      </w:r>
      <w:hyperlink r:id="rId43" w:history="1">
        <w:r w:rsidRPr="004D76CC">
          <w:rPr>
            <w:rStyle w:val="Hyperlink"/>
          </w:rPr>
          <w:t>Sensor Things API candidate implementation specification</w:t>
        </w:r>
      </w:hyperlink>
      <w:r>
        <w:t xml:space="preserve"> provides</w:t>
      </w:r>
      <w:r w:rsidRPr="004D76CC">
        <w:t xml:space="preserve"> an open and unified way to interconnect IoT devices, data, and applications over the Web. The SensorThings API is an open standard, builds on Web protocols and the OGC Sensor Web Enablement standards, and applies an easy-to-use REST-like style. The result is a uniform way to expose the full potential of the Internet of Things.</w:t>
      </w:r>
    </w:p>
    <w:p w14:paraId="7950051A" w14:textId="6C62558F" w:rsidR="001E68F4" w:rsidRDefault="001E68F4" w:rsidP="00167A93">
      <w:pPr>
        <w:pStyle w:val="Caption"/>
        <w:keepNext/>
        <w:jc w:val="left"/>
      </w:pPr>
      <w:bookmarkStart w:id="218" w:name="_Toc291251589"/>
      <w:r>
        <w:lastRenderedPageBreak/>
        <w:t xml:space="preserve">Figure </w:t>
      </w:r>
      <w:r w:rsidR="00406248">
        <w:t>2</w:t>
      </w:r>
      <w:r>
        <w:t>: Sensor</w:t>
      </w:r>
      <w:r w:rsidR="00527EA0">
        <w:t xml:space="preserve"> Things API basic d</w:t>
      </w:r>
      <w:r>
        <w:t xml:space="preserve">ata </w:t>
      </w:r>
      <w:r w:rsidR="00527EA0">
        <w:t>m</w:t>
      </w:r>
      <w:r>
        <w:t>odel</w:t>
      </w:r>
      <w:bookmarkEnd w:id="218"/>
    </w:p>
    <w:p w14:paraId="44ECD12B" w14:textId="1053AA7A" w:rsidR="00FD7AC2" w:rsidRDefault="00084919" w:rsidP="00FD7AC2">
      <w:r>
        <w:rPr>
          <w:rFonts w:ascii="Helvetica" w:hAnsi="Helvetica" w:cs="Helvetica"/>
          <w:sz w:val="24"/>
          <w:szCs w:val="24"/>
        </w:rPr>
        <w:drawing>
          <wp:inline distT="0" distB="0" distL="0" distR="0" wp14:anchorId="55370B99" wp14:editId="7E1BECAD">
            <wp:extent cx="6217920" cy="2319020"/>
            <wp:effectExtent l="0" t="0" r="5080" b="0"/>
            <wp:docPr id="17" name="Picture 1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7920" cy="2319020"/>
                    </a:xfrm>
                    <a:prstGeom prst="rect">
                      <a:avLst/>
                    </a:prstGeom>
                    <a:noFill/>
                    <a:ln>
                      <a:noFill/>
                    </a:ln>
                  </pic:spPr>
                </pic:pic>
              </a:graphicData>
            </a:graphic>
          </wp:inline>
        </w:drawing>
      </w:r>
    </w:p>
    <w:p w14:paraId="2EA5B964" w14:textId="3E518003" w:rsidR="00FD7AC2" w:rsidRPr="007F60FF" w:rsidRDefault="00FD7AC2" w:rsidP="00FD7AC2">
      <w:pPr>
        <w:pStyle w:val="Heading3"/>
      </w:pPr>
      <w:bookmarkStart w:id="219" w:name="_Toc291251583"/>
      <w:r>
        <w:t>Web Notification Service (WNS)</w:t>
      </w:r>
      <w:bookmarkEnd w:id="219"/>
    </w:p>
    <w:p w14:paraId="4C21256E" w14:textId="59652EDF" w:rsidR="00FD7AC2" w:rsidRDefault="00D42CA8" w:rsidP="00FD7AC2">
      <w:r w:rsidRPr="00D42CA8">
        <w:t xml:space="preserve">The </w:t>
      </w:r>
      <w:r>
        <w:t xml:space="preserve">OGC </w:t>
      </w:r>
      <w:hyperlink r:id="rId46" w:history="1">
        <w:r w:rsidRPr="00D42CA8">
          <w:rPr>
            <w:rStyle w:val="Hyperlink"/>
          </w:rPr>
          <w:t>Web Notification Service</w:t>
        </w:r>
      </w:hyperlink>
      <w:r>
        <w:t xml:space="preserve"> (</w:t>
      </w:r>
      <w:r w:rsidRPr="00D42CA8">
        <w:t>WNS</w:t>
      </w:r>
      <w:r>
        <w:t>) Discussion Paper describes</w:t>
      </w:r>
      <w:r w:rsidRPr="00D42CA8">
        <w:t xml:space="preserve"> </w:t>
      </w:r>
      <w:r>
        <w:t>a</w:t>
      </w:r>
      <w:r w:rsidRPr="00D42CA8">
        <w:t xml:space="preserve"> general purpose messaging service. It is an asyn</w:t>
      </w:r>
      <w:r>
        <w:t xml:space="preserve">chronous and statefull service </w:t>
      </w:r>
      <w:r w:rsidRPr="00D42CA8">
        <w:t xml:space="preserve">that sends notifications </w:t>
      </w:r>
      <w:r>
        <w:t>to</w:t>
      </w:r>
      <w:r w:rsidRPr="00D42CA8">
        <w:t xml:space="preserve"> a client</w:t>
      </w:r>
      <w:r>
        <w:t xml:space="preserve"> to support asynchronous interactions with other Web services</w:t>
      </w:r>
      <w:r w:rsidRPr="00D42CA8">
        <w:t xml:space="preserve">. </w:t>
      </w:r>
      <w:r>
        <w:t xml:space="preserve">WNS </w:t>
      </w:r>
      <w:r w:rsidRPr="00D42CA8">
        <w:t>includes two di</w:t>
      </w:r>
      <w:r>
        <w:t xml:space="preserve">fferent kinds of notifications: </w:t>
      </w:r>
      <w:r w:rsidRPr="00D42CA8">
        <w:t>“one-way-communication” provides the user with informatio</w:t>
      </w:r>
      <w:r>
        <w:t xml:space="preserve">n without expecting a response while </w:t>
      </w:r>
      <w:r w:rsidRPr="00D42CA8">
        <w:t>“two-way-communication” provides the user with information and expects some kind of asynchronous response</w:t>
      </w:r>
      <w:r>
        <w:t xml:space="preserve"> in return</w:t>
      </w:r>
      <w:r w:rsidRPr="00D42CA8">
        <w:t>.</w:t>
      </w:r>
      <w:r>
        <w:t xml:space="preserve"> Notification media can include e-mail, SMS, IM, or any other means of push interaction.</w:t>
      </w:r>
    </w:p>
    <w:p w14:paraId="715D79E8" w14:textId="2ED58C5D" w:rsidR="00536832" w:rsidRDefault="00B40371" w:rsidP="00EB2E3B">
      <w:pPr>
        <w:pStyle w:val="Heading3"/>
      </w:pPr>
      <w:bookmarkStart w:id="220" w:name="_Toc291251584"/>
      <w:r>
        <w:t xml:space="preserve">Sensor </w:t>
      </w:r>
      <w:r w:rsidR="00536832">
        <w:t>Alert Service</w:t>
      </w:r>
      <w:bookmarkEnd w:id="220"/>
    </w:p>
    <w:p w14:paraId="4A33DADC" w14:textId="22A20EF4" w:rsidR="00536832" w:rsidRDefault="00BD12F5">
      <w:r>
        <w:t xml:space="preserve">The OGC </w:t>
      </w:r>
      <w:hyperlink r:id="rId47" w:history="1">
        <w:r w:rsidRPr="00BD12F5">
          <w:rPr>
            <w:rStyle w:val="Hyperlink"/>
          </w:rPr>
          <w:t>Sensor Alert Service</w:t>
        </w:r>
      </w:hyperlink>
      <w:r>
        <w:t xml:space="preserve"> is a Best Practice specification describing an event registry service for sensor observations </w:t>
      </w:r>
      <w:r w:rsidRPr="00BD12F5">
        <w:t xml:space="preserve">that allows </w:t>
      </w:r>
      <w:r>
        <w:t xml:space="preserve">sensor </w:t>
      </w:r>
      <w:r w:rsidRPr="00BD12F5">
        <w:t xml:space="preserve">nodes to advertise and publish observational </w:t>
      </w:r>
      <w:r w:rsidR="00953D5F">
        <w:t>alerts</w:t>
      </w:r>
      <w:r>
        <w:t>.</w:t>
      </w:r>
      <w:r w:rsidR="00953D5F">
        <w:t xml:space="preserve"> </w:t>
      </w:r>
      <w:r w:rsidR="00953D5F" w:rsidRPr="00953D5F">
        <w:t xml:space="preserve">All alert types </w:t>
      </w:r>
      <w:r w:rsidR="00953D5F">
        <w:t>that a node can send are registered</w:t>
      </w:r>
      <w:r w:rsidR="00953D5F" w:rsidRPr="00953D5F">
        <w:t xml:space="preserve">. If an event occurs the node </w:t>
      </w:r>
      <w:r w:rsidR="00953D5F">
        <w:t xml:space="preserve">then </w:t>
      </w:r>
      <w:r w:rsidR="00953D5F" w:rsidRPr="00953D5F">
        <w:t>send</w:t>
      </w:r>
      <w:r w:rsidR="00953D5F">
        <w:t>s</w:t>
      </w:r>
      <w:r w:rsidR="00953D5F" w:rsidRPr="00953D5F">
        <w:t xml:space="preserve"> it to the SAS via the publish operation. A consumer (interested party) may subscribe to alerts disseminated by the SAS. If an event occurs the SAS will notify all clients subscribed to this event type.</w:t>
      </w:r>
      <w:r w:rsidR="00953D5F">
        <w:t xml:space="preserve"> </w:t>
      </w:r>
      <w:r w:rsidR="00953D5F" w:rsidRPr="00953D5F">
        <w:t xml:space="preserve">The Sensor Alert Service uses the Extensible Messaging and Presence Protocol (XMPP) to provide </w:t>
      </w:r>
      <w:r w:rsidR="00953D5F">
        <w:t>default</w:t>
      </w:r>
      <w:r w:rsidR="00953D5F" w:rsidRPr="00953D5F">
        <w:t xml:space="preserve"> push-based notification functionality.</w:t>
      </w:r>
      <w:r>
        <w:t xml:space="preserve"> </w:t>
      </w:r>
    </w:p>
    <w:p w14:paraId="031346AC" w14:textId="77777777" w:rsidR="00C414E5" w:rsidRDefault="00C414E5" w:rsidP="00540A2E">
      <w:pPr>
        <w:pStyle w:val="Heading1"/>
        <w:pageBreakBefore/>
      </w:pPr>
      <w:bookmarkStart w:id="221" w:name="_Toc34475961"/>
      <w:bookmarkStart w:id="222" w:name="_Toc35536844"/>
      <w:bookmarkStart w:id="223" w:name="_Ref205549707"/>
      <w:bookmarkStart w:id="224" w:name="_Toc291251585"/>
      <w:r>
        <w:lastRenderedPageBreak/>
        <w:t>Engineering Viewpoint</w:t>
      </w:r>
      <w:bookmarkEnd w:id="221"/>
      <w:bookmarkEnd w:id="222"/>
      <w:bookmarkEnd w:id="223"/>
      <w:bookmarkEnd w:id="224"/>
    </w:p>
    <w:p w14:paraId="158ADD79" w14:textId="40030418" w:rsidR="00C414E5" w:rsidRDefault="00C414E5" w:rsidP="00540A2E">
      <w:r>
        <w:t>The Enterprise, Information, and Computation viewpoints describe a system in terms of its purposes, its content, and its functions</w:t>
      </w:r>
      <w:r w:rsidR="000522C7">
        <w:t>.  T</w:t>
      </w:r>
      <w:r>
        <w:t>h</w:t>
      </w:r>
      <w:r w:rsidR="000522C7">
        <w:t>e Engine</w:t>
      </w:r>
      <w:r w:rsidR="00C4541E">
        <w:t>e</w:t>
      </w:r>
      <w:r w:rsidR="000522C7">
        <w:t>ring</w:t>
      </w:r>
      <w:r>
        <w:t xml:space="preserve"> viewpoint </w:t>
      </w:r>
      <w:r w:rsidR="002628C1">
        <w:t>describes an initial</w:t>
      </w:r>
      <w:r>
        <w:t xml:space="preserve"> </w:t>
      </w:r>
      <w:r w:rsidR="000522C7">
        <w:t xml:space="preserve">design </w:t>
      </w:r>
      <w:r>
        <w:t xml:space="preserve">“solution” to problems posed by applying the information and computation elements of the architecture to the requirements of the use cases. </w:t>
      </w:r>
    </w:p>
    <w:p w14:paraId="315204D3" w14:textId="13793155" w:rsidR="00C058AC" w:rsidRDefault="00C058AC" w:rsidP="00C058AC">
      <w:r>
        <w:t xml:space="preserve">An implementation architecture and deployed system design for incident management sensor “Things” will be developed, refined, and documented in a Technology Viewpoint during the course of the pilot activity based on the pilot scope, the capabilities of the selected pilot participants, and the needs of the agreed </w:t>
      </w:r>
      <w:r w:rsidR="005637DE">
        <w:t xml:space="preserve">upon </w:t>
      </w:r>
      <w:r>
        <w:t>target response scenario</w:t>
      </w:r>
      <w:r w:rsidR="005637DE">
        <w:t xml:space="preserve"> and associated use cases</w:t>
      </w:r>
      <w:r>
        <w:t xml:space="preserve">. An initial system design solution is shown in Figure 1. The specific technologies, number of components, and type of sensors to be implemented for the pilot are not yet </w:t>
      </w:r>
      <w:r w:rsidR="003E7B9D">
        <w:t>finalized</w:t>
      </w:r>
      <w:r>
        <w:t>; however, this design depicts the manner in which relevant components are to be connected to provide the “just works” functionality</w:t>
      </w:r>
      <w:r w:rsidR="003E7B9D">
        <w:t xml:space="preserve"> for incident responders</w:t>
      </w:r>
      <w:r>
        <w:t xml:space="preserve"> that the Pilot aims to demonstrate.</w:t>
      </w:r>
    </w:p>
    <w:p w14:paraId="4A06DEDE" w14:textId="0E47E0BB" w:rsidR="008B32A9" w:rsidRDefault="00C058AC" w:rsidP="00C058AC">
      <w:r>
        <w:t xml:space="preserve">A central role in this design is played by </w:t>
      </w:r>
      <w:r w:rsidR="003E7B9D">
        <w:t>system components</w:t>
      </w:r>
      <w:r>
        <w:t xml:space="preserve"> termed sensor hubs or S-Hubs. These components serve as gateways between the local network protocols used by lightweight sensor units and the globally addressable Internet protocols used for IoT, WoT (Web of Things), or SWE (Sensor Web Enablement) interactions. </w:t>
      </w:r>
      <w:r w:rsidR="008B32A9">
        <w:t>S-Hubs may simply route service interactions between Internet hosts and sensor devices, or they may serve as proxies or façades that add data persistence or Internet presence capabilities to the basic capabilities of the sensors themselves.</w:t>
      </w:r>
    </w:p>
    <w:p w14:paraId="328FDB42" w14:textId="2B665063" w:rsidR="00C058AC" w:rsidRDefault="00C058AC" w:rsidP="00C058AC">
      <w:r>
        <w:t xml:space="preserve">Sensor components register themselves through the appropriate protocol with their respective S-Hubs. The hubs and their devices can then be discovered and accessed by means of Web protocols with the assistance of one or more registry (HubCat) </w:t>
      </w:r>
      <w:r w:rsidR="008B32A9">
        <w:t>components</w:t>
      </w:r>
      <w:r>
        <w:t>. A range of mobile, fixed, and system applications will then be able to access observations and derived products or if necessary query / task individual sensors directly through one or more API’s as appropriate. In such a design, an individual sensor only needs configuration information that allows it to register with a hub on deployment in order for its capabilities to be available for all responder as soon as it is activated.</w:t>
      </w:r>
    </w:p>
    <w:p w14:paraId="53DB4D30" w14:textId="77777777" w:rsidR="00C058AC" w:rsidRDefault="00C058AC" w:rsidP="00C058AC"/>
    <w:p w14:paraId="3DD8B529" w14:textId="5C28F88D" w:rsidR="0051599A" w:rsidRDefault="00C058AC" w:rsidP="0051599A">
      <w:pPr>
        <w:pStyle w:val="Caption"/>
        <w:keepNext/>
        <w:jc w:val="left"/>
      </w:pPr>
      <w:bookmarkStart w:id="225" w:name="_Toc291251590"/>
      <w:r w:rsidRPr="00190D63">
        <w:lastRenderedPageBreak/>
        <w:t xml:space="preserve">Figure </w:t>
      </w:r>
      <w:r w:rsidR="00406248">
        <w:t>3:</w:t>
      </w:r>
      <w:r w:rsidRPr="00190D63">
        <w:t xml:space="preserve"> Initial notional system design for IMIS IoT Pilot.</w:t>
      </w:r>
      <w:bookmarkEnd w:id="225"/>
    </w:p>
    <w:p w14:paraId="1F2D1EF4" w14:textId="6789FA64" w:rsidR="00C058AC" w:rsidRPr="00CC7C72" w:rsidRDefault="00084919" w:rsidP="0051599A">
      <w:r>
        <w:drawing>
          <wp:inline distT="0" distB="0" distL="0" distR="0" wp14:anchorId="073D919F" wp14:editId="5BAF1A1F">
            <wp:extent cx="5947410" cy="3665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7410" cy="3665220"/>
                    </a:xfrm>
                    <a:prstGeom prst="rect">
                      <a:avLst/>
                    </a:prstGeom>
                    <a:noFill/>
                    <a:ln>
                      <a:noFill/>
                    </a:ln>
                  </pic:spPr>
                </pic:pic>
              </a:graphicData>
            </a:graphic>
          </wp:inline>
        </w:drawing>
      </w:r>
    </w:p>
    <w:p w14:paraId="21093B6D" w14:textId="47FC2247" w:rsidR="00C058AC" w:rsidRDefault="00C058AC" w:rsidP="00C058AC">
      <w:pPr>
        <w:pStyle w:val="BodyText"/>
      </w:pPr>
      <w:r>
        <w:t>Other systems will be involved in archiving, processing, and providing notifications from observations. Their precise architecture and technology is not defined here, but their use of standard Web interfaces and information types as defined in the Information and Computational Viewpoints will separate that concern to a large extent from the actual development and operation of end user applications. These interfaces include WMS (Web Mapping Service), SOS (Sensor Observation Service), WPS (Web Processing Service), WNS (Web Notification Service), and CSW (Catalog Service for the Web) as well as the new lightweight OGC Sensor Things API.</w:t>
      </w:r>
    </w:p>
    <w:p w14:paraId="34948F51" w14:textId="77777777" w:rsidR="00C414E5" w:rsidRDefault="00C414E5" w:rsidP="00872AD5">
      <w:pPr>
        <w:pStyle w:val="Heading1"/>
      </w:pPr>
      <w:bookmarkStart w:id="226" w:name="_Toc34475962"/>
      <w:bookmarkStart w:id="227" w:name="_Toc35536862"/>
      <w:bookmarkStart w:id="228" w:name="_Toc291251586"/>
      <w:r>
        <w:t>Technology Viewpoint</w:t>
      </w:r>
      <w:bookmarkEnd w:id="226"/>
      <w:bookmarkEnd w:id="227"/>
      <w:bookmarkEnd w:id="228"/>
    </w:p>
    <w:p w14:paraId="2456FB3F" w14:textId="77777777" w:rsidR="00E36DB5" w:rsidRDefault="00C414E5" w:rsidP="00C4541E">
      <w:r>
        <w:t xml:space="preserve">The technology viewpoint is concerned with the </w:t>
      </w:r>
      <w:r w:rsidR="00504711">
        <w:t xml:space="preserve">deployed </w:t>
      </w:r>
      <w:r>
        <w:t xml:space="preserve">system, describing the hardware and software components used. </w:t>
      </w:r>
      <w:r w:rsidR="00DA2D46">
        <w:t>This</w:t>
      </w:r>
      <w:r>
        <w:t xml:space="preserve"> architectural view will </w:t>
      </w:r>
      <w:r w:rsidR="00C4541E">
        <w:t>be developed</w:t>
      </w:r>
      <w:r w:rsidR="00DA2D46">
        <w:t xml:space="preserve"> </w:t>
      </w:r>
      <w:r w:rsidR="00496EFA">
        <w:t>during the course of th</w:t>
      </w:r>
      <w:r w:rsidR="00C22865">
        <w:t>is</w:t>
      </w:r>
      <w:r w:rsidR="00496EFA">
        <w:t xml:space="preserve"> </w:t>
      </w:r>
      <w:r w:rsidR="00EF340B">
        <w:t>IMIS IoT</w:t>
      </w:r>
      <w:r w:rsidR="00C22865">
        <w:t xml:space="preserve"> initiative</w:t>
      </w:r>
      <w:r w:rsidR="00C4541E">
        <w:t xml:space="preserve"> to describe the realized Pilot system and the contributions from Pilot participants that it comprises</w:t>
      </w:r>
      <w:r w:rsidR="00DA2D46">
        <w:t>.</w:t>
      </w:r>
      <w:r>
        <w:t xml:space="preserve"> </w:t>
      </w:r>
      <w:bookmarkStart w:id="229" w:name="_Toc3786833"/>
      <w:bookmarkStart w:id="230" w:name="_Toc35536869"/>
      <w:bookmarkEnd w:id="108"/>
      <w:bookmarkEnd w:id="109"/>
      <w:bookmarkEnd w:id="110"/>
      <w:bookmarkEnd w:id="111"/>
      <w:bookmarkEnd w:id="112"/>
      <w:bookmarkEnd w:id="113"/>
      <w:bookmarkEnd w:id="114"/>
      <w:bookmarkEnd w:id="115"/>
      <w:bookmarkEnd w:id="116"/>
      <w:bookmarkEnd w:id="117"/>
      <w:bookmarkEnd w:id="118"/>
    </w:p>
    <w:p w14:paraId="4D18F318" w14:textId="37F16C8A" w:rsidR="00C414E5" w:rsidRPr="00EB2E3B" w:rsidRDefault="00C414E5" w:rsidP="00C4541E">
      <w:pPr>
        <w:rPr>
          <w:rFonts w:ascii="Arial" w:hAnsi="Arial" w:cs="Arial"/>
          <w:b/>
          <w:sz w:val="32"/>
          <w:szCs w:val="32"/>
        </w:rPr>
      </w:pPr>
      <w:r w:rsidRPr="002628C1">
        <w:rPr>
          <w:b/>
          <w:shd w:val="clear" w:color="auto" w:fill="FFFDAD"/>
        </w:rPr>
        <w:br w:type="page"/>
      </w:r>
      <w:r w:rsidRPr="00EB2E3B">
        <w:rPr>
          <w:rFonts w:ascii="Arial" w:hAnsi="Arial" w:cs="Arial"/>
          <w:b/>
          <w:sz w:val="32"/>
          <w:szCs w:val="32"/>
        </w:rPr>
        <w:lastRenderedPageBreak/>
        <w:t xml:space="preserve">Appendix A: </w:t>
      </w:r>
      <w:r w:rsidR="00EF340B" w:rsidRPr="00EB2E3B">
        <w:rPr>
          <w:rFonts w:ascii="Arial" w:hAnsi="Arial" w:cs="Arial"/>
          <w:b/>
          <w:sz w:val="32"/>
          <w:szCs w:val="32"/>
        </w:rPr>
        <w:t>IMIS IoT</w:t>
      </w:r>
      <w:r w:rsidR="00DD6FC4" w:rsidRPr="00EB2E3B">
        <w:rPr>
          <w:rFonts w:ascii="Arial" w:hAnsi="Arial" w:cs="Arial"/>
          <w:b/>
          <w:sz w:val="32"/>
          <w:szCs w:val="32"/>
        </w:rPr>
        <w:t xml:space="preserve"> </w:t>
      </w:r>
      <w:r w:rsidRPr="00EB2E3B">
        <w:rPr>
          <w:rFonts w:ascii="Arial" w:hAnsi="Arial" w:cs="Arial"/>
          <w:b/>
          <w:sz w:val="32"/>
          <w:szCs w:val="32"/>
        </w:rPr>
        <w:t>Architecture References</w:t>
      </w:r>
      <w:bookmarkEnd w:id="229"/>
      <w:bookmarkEnd w:id="230"/>
      <w:r w:rsidRPr="00EB2E3B">
        <w:rPr>
          <w:rFonts w:ascii="Arial" w:hAnsi="Arial" w:cs="Arial"/>
          <w:b/>
          <w:sz w:val="32"/>
          <w:szCs w:val="32"/>
        </w:rPr>
        <w:t xml:space="preserve"> </w:t>
      </w:r>
    </w:p>
    <w:p w14:paraId="5132BFED" w14:textId="77777777" w:rsidR="00C414E5" w:rsidRDefault="00C414E5" w:rsidP="002618E8">
      <w:pPr>
        <w:ind w:right="360"/>
      </w:pPr>
      <w:r>
        <w:t>Refer to the OGC website (</w:t>
      </w:r>
      <w:hyperlink r:id="rId49" w:history="1">
        <w:r>
          <w:rPr>
            <w:rStyle w:val="Hyperlink"/>
          </w:rPr>
          <w:t>http://www.opengeospatial.org/specs/?page=baseline</w:t>
        </w:r>
      </w:hyperlink>
      <w:r>
        <w:t>) for the authoritative listing of adopted documents.</w:t>
      </w:r>
    </w:p>
    <w:p w14:paraId="22F9C9A1" w14:textId="77777777" w:rsidR="00C414E5" w:rsidRDefault="00C414E5" w:rsidP="002618E8">
      <w:pPr>
        <w:pStyle w:val="Note"/>
      </w:pPr>
      <w:r>
        <w:t>Note: Please contact the OGC Tech Desk if you need assistance in gaining access to these documents (techdesk@opengeospatial.org).</w:t>
      </w:r>
    </w:p>
    <w:p w14:paraId="63B8F9DB" w14:textId="77777777" w:rsidR="00C414E5" w:rsidRDefault="00C414E5" w:rsidP="002618E8">
      <w:pPr>
        <w:rPr>
          <w:b/>
          <w:u w:val="single"/>
        </w:rPr>
      </w:pPr>
      <w:r>
        <w:rPr>
          <w:b/>
          <w:u w:val="single"/>
        </w:rPr>
        <w:t xml:space="preserve">OGC Specifications and Supporting Documents Relevant to </w:t>
      </w:r>
      <w:r w:rsidR="00EF340B">
        <w:rPr>
          <w:b/>
          <w:u w:val="single"/>
        </w:rPr>
        <w:t>IMIS IoT</w:t>
      </w:r>
      <w:r>
        <w:rPr>
          <w:b/>
          <w:u w:val="single"/>
        </w:rPr>
        <w:t>:</w:t>
      </w:r>
    </w:p>
    <w:p w14:paraId="4A5634A1" w14:textId="77777777" w:rsidR="00C414E5" w:rsidRPr="007F60FF" w:rsidRDefault="00C414E5" w:rsidP="002618E8">
      <w:pPr>
        <w:pStyle w:val="Reference"/>
        <w:numPr>
          <w:ilvl w:val="0"/>
          <w:numId w:val="12"/>
        </w:numPr>
        <w:rPr>
          <w:rStyle w:val="Hyperlink"/>
          <w:color w:val="auto"/>
          <w:u w:val="none"/>
        </w:rPr>
      </w:pPr>
      <w:r>
        <w:rPr>
          <w:color w:val="000000"/>
        </w:rPr>
        <w:t xml:space="preserve">OpenGIS® Geography Markup Language (GML) Implementation Specification (version 3.0), available </w:t>
      </w:r>
      <w:r>
        <w:t xml:space="preserve">at: </w:t>
      </w:r>
      <w:hyperlink r:id="rId50" w:history="1">
        <w:r>
          <w:rPr>
            <w:rStyle w:val="Hyperlink"/>
          </w:rPr>
          <w:t>http://www.opengeospatial.org/specs/?page=specs</w:t>
        </w:r>
      </w:hyperlink>
    </w:p>
    <w:p w14:paraId="682DD7CE" w14:textId="77777777" w:rsidR="007F60FF" w:rsidRPr="007F60FF" w:rsidRDefault="007F60FF" w:rsidP="002618E8">
      <w:pPr>
        <w:pStyle w:val="Reference"/>
        <w:numPr>
          <w:ilvl w:val="0"/>
          <w:numId w:val="12"/>
        </w:numPr>
      </w:pPr>
      <w:r w:rsidRPr="00514C4F">
        <w:rPr>
          <w:szCs w:val="22"/>
        </w:rPr>
        <w:t>Geography Markup Language (GML) simple features profile (with Corrigendum), (OGC 10-100r3)</w:t>
      </w:r>
      <w:r w:rsidRPr="003433AC">
        <w:rPr>
          <w:b/>
          <w:szCs w:val="22"/>
        </w:rPr>
        <w:br/>
      </w:r>
      <w:hyperlink r:id="rId51" w:history="1">
        <w:r w:rsidRPr="00297399">
          <w:rPr>
            <w:rStyle w:val="Hyperlink"/>
            <w:szCs w:val="22"/>
          </w:rPr>
          <w:t>http://portal.opengeospatial.org/files/?artifact_id=42729</w:t>
        </w:r>
      </w:hyperlink>
    </w:p>
    <w:p w14:paraId="41BCF970" w14:textId="77777777" w:rsidR="007F60FF" w:rsidRDefault="007F60FF" w:rsidP="007F60FF">
      <w:pPr>
        <w:pStyle w:val="Reference"/>
        <w:numPr>
          <w:ilvl w:val="0"/>
          <w:numId w:val="12"/>
        </w:numPr>
        <w:jc w:val="left"/>
      </w:pPr>
      <w:r w:rsidRPr="00514C4F">
        <w:rPr>
          <w:szCs w:val="22"/>
        </w:rPr>
        <w:t>OGC® Geography Markup Language (GML) — Extended schemas and encoding rules, Version 3.3 (OGC 10-129r1)</w:t>
      </w:r>
      <w:r w:rsidRPr="003433AC">
        <w:rPr>
          <w:b/>
          <w:szCs w:val="22"/>
        </w:rPr>
        <w:br/>
      </w:r>
      <w:hyperlink r:id="rId52" w:history="1">
        <w:r w:rsidRPr="00B31C39">
          <w:rPr>
            <w:rStyle w:val="Hyperlink"/>
            <w:szCs w:val="22"/>
          </w:rPr>
          <w:t>https://portal.opengeospatial.org/files/?artifact_id=46568</w:t>
        </w:r>
      </w:hyperlink>
    </w:p>
    <w:p w14:paraId="09BA2458" w14:textId="77777777" w:rsidR="00FA086C" w:rsidRDefault="00C414E5" w:rsidP="002618E8">
      <w:pPr>
        <w:pStyle w:val="Reference"/>
        <w:numPr>
          <w:ilvl w:val="0"/>
          <w:numId w:val="12"/>
        </w:numPr>
      </w:pPr>
      <w:r w:rsidRPr="00FA086C">
        <w:rPr>
          <w:color w:val="000000"/>
        </w:rPr>
        <w:t>OpenGIS® Web Map Service (WMS) Implementation Specification, version 1.1.1, available</w:t>
      </w:r>
      <w:r w:rsidRPr="00FA086C">
        <w:rPr>
          <w:snapToGrid w:val="0"/>
        </w:rPr>
        <w:t xml:space="preserve"> at:</w:t>
      </w:r>
      <w:r w:rsidRPr="00FA086C">
        <w:rPr>
          <w:b/>
          <w:i/>
          <w:snapToGrid w:val="0"/>
        </w:rPr>
        <w:t xml:space="preserve"> </w:t>
      </w:r>
      <w:hyperlink r:id="rId53" w:history="1">
        <w:r w:rsidR="00FA086C">
          <w:rPr>
            <w:rStyle w:val="Hyperlink"/>
          </w:rPr>
          <w:t>http://www.opengeospatial.org/specs/?page=specs</w:t>
        </w:r>
      </w:hyperlink>
    </w:p>
    <w:p w14:paraId="4510F19A" w14:textId="77777777" w:rsidR="00FA086C" w:rsidRDefault="00C414E5" w:rsidP="002618E8">
      <w:pPr>
        <w:pStyle w:val="Reference"/>
        <w:numPr>
          <w:ilvl w:val="0"/>
          <w:numId w:val="12"/>
        </w:numPr>
      </w:pPr>
      <w:r w:rsidRPr="00FA086C">
        <w:rPr>
          <w:color w:val="000000"/>
        </w:rPr>
        <w:t xml:space="preserve">OpenGIS® Map Context Documents Implementation Specification, version 1.0, available at: </w:t>
      </w:r>
      <w:hyperlink r:id="rId54" w:history="1">
        <w:r w:rsidR="00FA086C">
          <w:rPr>
            <w:rStyle w:val="Hyperlink"/>
          </w:rPr>
          <w:t>http://www.opengeospatial.org/specs/?page=specs</w:t>
        </w:r>
      </w:hyperlink>
    </w:p>
    <w:p w14:paraId="36116C2D" w14:textId="77777777" w:rsidR="00C414E5" w:rsidRDefault="00C414E5" w:rsidP="002618E8">
      <w:pPr>
        <w:pStyle w:val="Reference"/>
        <w:numPr>
          <w:ilvl w:val="0"/>
          <w:numId w:val="12"/>
        </w:numPr>
      </w:pPr>
      <w:r>
        <w:t>OpenGIS® Web Feature Server (WFS) Implementation Specification, version 1.0, available at:</w:t>
      </w:r>
      <w:r>
        <w:rPr>
          <w:b/>
          <w:i/>
        </w:rPr>
        <w:t xml:space="preserve"> </w:t>
      </w:r>
      <w:hyperlink r:id="rId55" w:history="1">
        <w:r>
          <w:rPr>
            <w:rStyle w:val="Hyperlink"/>
            <w:b/>
            <w:i/>
          </w:rPr>
          <w:t>http://www.opengeospatial.org/specs/?page=specs</w:t>
        </w:r>
      </w:hyperlink>
    </w:p>
    <w:p w14:paraId="556FBBE9" w14:textId="77777777" w:rsidR="00C414E5" w:rsidRDefault="00C414E5" w:rsidP="002618E8">
      <w:pPr>
        <w:rPr>
          <w:b/>
          <w:u w:val="single"/>
        </w:rPr>
      </w:pPr>
      <w:r>
        <w:rPr>
          <w:b/>
          <w:u w:val="single"/>
        </w:rPr>
        <w:t>Other OGC Specifications and Supporting Documents</w:t>
      </w:r>
    </w:p>
    <w:p w14:paraId="3A88B103" w14:textId="77777777" w:rsidR="00C414E5" w:rsidRDefault="00C414E5" w:rsidP="00EB2E3B">
      <w:pPr>
        <w:numPr>
          <w:ilvl w:val="0"/>
          <w:numId w:val="12"/>
        </w:numPr>
        <w:spacing w:before="40" w:after="40"/>
      </w:pPr>
      <w:r>
        <w:t>OpenGIS® Abstract Specification Topic 11: OpenGIS® Metadata (ISO/TC 211 DIS 19115)  May 2001, &lt;http://www.opengeospatial.org/techno/abstract/01-111.pdf&gt;</w:t>
      </w:r>
    </w:p>
    <w:p w14:paraId="28FB91FD" w14:textId="77777777" w:rsidR="00C414E5" w:rsidRDefault="00C414E5" w:rsidP="00EB2E3B">
      <w:pPr>
        <w:numPr>
          <w:ilvl w:val="0"/>
          <w:numId w:val="12"/>
        </w:numPr>
        <w:spacing w:before="40" w:after="40"/>
      </w:pPr>
      <w:r>
        <w:t xml:space="preserve">OpenGIS® Abstract Specification Topic 12: OpenGIS® Service Architecture (Version 4.3), Percival, G. (ed.), January 2002, &lt; </w:t>
      </w:r>
      <w:hyperlink r:id="rId56" w:history="1">
        <w:r>
          <w:rPr>
            <w:rStyle w:val="Hyperlink"/>
          </w:rPr>
          <w:t>http://www.opengeospatial.org/techno/abstract/02-112.pdf</w:t>
        </w:r>
      </w:hyperlink>
      <w:r>
        <w:t>&gt;</w:t>
      </w:r>
    </w:p>
    <w:p w14:paraId="561C5ED7" w14:textId="77777777" w:rsidR="00C414E5" w:rsidRDefault="00C414E5" w:rsidP="00EB2E3B">
      <w:pPr>
        <w:numPr>
          <w:ilvl w:val="0"/>
          <w:numId w:val="12"/>
        </w:numPr>
        <w:spacing w:before="40" w:after="40"/>
      </w:pPr>
      <w:r>
        <w:t xml:space="preserve">OGC Cookbooks website: </w:t>
      </w:r>
      <w:hyperlink r:id="rId57" w:history="1">
        <w:r>
          <w:rPr>
            <w:rStyle w:val="Hyperlink"/>
          </w:rPr>
          <w:t>http://www.opengeospatial.org/resources/?page=cookbooks</w:t>
        </w:r>
      </w:hyperlink>
      <w:r>
        <w:t xml:space="preserve"> </w:t>
      </w:r>
    </w:p>
    <w:p w14:paraId="196F4655" w14:textId="77777777" w:rsidR="00C414E5" w:rsidRDefault="00C414E5" w:rsidP="00EB2E3B">
      <w:pPr>
        <w:numPr>
          <w:ilvl w:val="0"/>
          <w:numId w:val="12"/>
        </w:numPr>
        <w:spacing w:before="40" w:after="40"/>
      </w:pPr>
      <w:r>
        <w:t xml:space="preserve">OGC Interoperability Program Concept Development Policies and Procedures” (also available from </w:t>
      </w:r>
      <w:hyperlink r:id="rId58" w:history="1">
        <w:r>
          <w:rPr>
            <w:rStyle w:val="Hyperlink"/>
          </w:rPr>
          <w:t>http://www.opengeospatial.org/ogc/policies/ippp</w:t>
        </w:r>
      </w:hyperlink>
      <w:r>
        <w:t>), Percivall, George. 2005</w:t>
      </w:r>
    </w:p>
    <w:p w14:paraId="5CE9F7C1" w14:textId="77777777" w:rsidR="00C414E5" w:rsidRDefault="00C414E5" w:rsidP="002618E8">
      <w:pPr>
        <w:rPr>
          <w:b/>
          <w:u w:val="single"/>
        </w:rPr>
      </w:pPr>
      <w:r>
        <w:rPr>
          <w:b/>
          <w:u w:val="single"/>
        </w:rPr>
        <w:t>ISO Specifications</w:t>
      </w:r>
    </w:p>
    <w:p w14:paraId="16D28EE4" w14:textId="77777777" w:rsidR="00C414E5" w:rsidRDefault="00C414E5" w:rsidP="00EB2E3B">
      <w:pPr>
        <w:numPr>
          <w:ilvl w:val="0"/>
          <w:numId w:val="12"/>
        </w:numPr>
        <w:spacing w:before="40" w:after="40"/>
        <w:ind w:right="360"/>
      </w:pPr>
      <w:r>
        <w:t xml:space="preserve">ISO 19101:2002 (Reference Model): </w:t>
      </w:r>
      <w:hyperlink r:id="rId59" w:history="1">
        <w:r>
          <w:rPr>
            <w:rStyle w:val="Hyperlink"/>
          </w:rPr>
          <w:t>http://webstore.ansi.org/ansidocstore/product.asp?sku=ISO+19101:2002</w:t>
        </w:r>
      </w:hyperlink>
      <w:r>
        <w:t xml:space="preserve">  </w:t>
      </w:r>
    </w:p>
    <w:p w14:paraId="26C08A42" w14:textId="77777777" w:rsidR="00C414E5" w:rsidRDefault="00C414E5" w:rsidP="00EB2E3B">
      <w:pPr>
        <w:numPr>
          <w:ilvl w:val="0"/>
          <w:numId w:val="12"/>
        </w:numPr>
        <w:spacing w:before="40" w:after="40"/>
        <w:ind w:right="360"/>
      </w:pPr>
      <w:r>
        <w:t xml:space="preserve">ISO 19107 (Spatial Schema) : </w:t>
      </w:r>
      <w:hyperlink r:id="rId60" w:history="1">
        <w:r>
          <w:rPr>
            <w:rStyle w:val="Hyperlink"/>
          </w:rPr>
          <w:t>http://www.isotc211.org/protdoc/DIS/ISO_DIS_19107_(E).pdf</w:t>
        </w:r>
      </w:hyperlink>
    </w:p>
    <w:p w14:paraId="4384E01E" w14:textId="77777777" w:rsidR="00C414E5" w:rsidRDefault="00C414E5" w:rsidP="00EB2E3B">
      <w:pPr>
        <w:numPr>
          <w:ilvl w:val="0"/>
          <w:numId w:val="12"/>
        </w:numPr>
        <w:spacing w:before="40" w:after="40"/>
        <w:ind w:right="360"/>
      </w:pPr>
      <w:r>
        <w:t xml:space="preserve">ISO 19108 (Temporal Schema) : </w:t>
      </w:r>
      <w:hyperlink r:id="rId61" w:history="1">
        <w:r>
          <w:rPr>
            <w:rStyle w:val="Hyperlink"/>
          </w:rPr>
          <w:t>http://www.isotc211.org/protdoc/DIS/DIS19108.pdf</w:t>
        </w:r>
      </w:hyperlink>
    </w:p>
    <w:p w14:paraId="5B96A614" w14:textId="77777777" w:rsidR="00C414E5" w:rsidRDefault="00C414E5" w:rsidP="00EB2E3B">
      <w:pPr>
        <w:numPr>
          <w:ilvl w:val="0"/>
          <w:numId w:val="12"/>
        </w:numPr>
        <w:spacing w:before="40" w:after="40"/>
        <w:ind w:right="360"/>
      </w:pPr>
      <w:r>
        <w:t xml:space="preserve">ISO 19109 (Rules for Application Schema) : </w:t>
      </w:r>
      <w:hyperlink r:id="rId62" w:history="1">
        <w:r>
          <w:rPr>
            <w:rStyle w:val="Hyperlink"/>
          </w:rPr>
          <w:t>http://www.isotc211.org/protdoc/DIS/ISO_DIS_19109_(E).pdf</w:t>
        </w:r>
      </w:hyperlink>
    </w:p>
    <w:p w14:paraId="3D6E3C89" w14:textId="77777777" w:rsidR="00C414E5" w:rsidRDefault="00C414E5" w:rsidP="00EB2E3B">
      <w:pPr>
        <w:numPr>
          <w:ilvl w:val="0"/>
          <w:numId w:val="12"/>
        </w:numPr>
        <w:spacing w:before="40" w:after="40"/>
        <w:ind w:right="360"/>
      </w:pPr>
      <w:r>
        <w:t xml:space="preserve">ISO 19115 (Metadata) : </w:t>
      </w:r>
      <w:hyperlink r:id="rId63" w:history="1">
        <w:r>
          <w:rPr>
            <w:rStyle w:val="Hyperlink"/>
          </w:rPr>
          <w:t>http://www.isotc211.org/protdoc/DIS/ISO_DIS_19115_(E).pdf</w:t>
        </w:r>
      </w:hyperlink>
    </w:p>
    <w:p w14:paraId="4915237E" w14:textId="77777777" w:rsidR="00C414E5" w:rsidRDefault="00C414E5" w:rsidP="00EB2E3B">
      <w:pPr>
        <w:numPr>
          <w:ilvl w:val="0"/>
          <w:numId w:val="12"/>
        </w:numPr>
        <w:spacing w:before="40" w:after="40"/>
        <w:ind w:right="360"/>
      </w:pPr>
      <w:r>
        <w:t xml:space="preserve">ISO 19119 (Services) : </w:t>
      </w:r>
      <w:hyperlink r:id="rId64" w:history="1">
        <w:r>
          <w:rPr>
            <w:rStyle w:val="Hyperlink"/>
          </w:rPr>
          <w:t>http://www.isotc211.org/protdoc/DIS/ISO_DIS_19119_(E).pdf</w:t>
        </w:r>
      </w:hyperlink>
    </w:p>
    <w:p w14:paraId="4AFF7CCD" w14:textId="77777777" w:rsidR="00C414E5" w:rsidRDefault="00C414E5" w:rsidP="00EB2E3B">
      <w:pPr>
        <w:numPr>
          <w:ilvl w:val="0"/>
          <w:numId w:val="12"/>
        </w:numPr>
        <w:spacing w:before="40" w:after="40"/>
        <w:ind w:right="360"/>
      </w:pPr>
      <w:r>
        <w:t xml:space="preserve">ISO 19125-1 (Simple Features Access - Part 1: Common Architecture): </w:t>
      </w:r>
      <w:hyperlink r:id="rId65" w:history="1">
        <w:r>
          <w:rPr>
            <w:rStyle w:val="Hyperlink"/>
          </w:rPr>
          <w:t>http://www.isotc211.org/protdoc/DIS/DIS19125-1.pdf</w:t>
        </w:r>
      </w:hyperlink>
    </w:p>
    <w:p w14:paraId="64C8FF6A" w14:textId="51B8201E" w:rsidR="001C41DA" w:rsidRDefault="00C414E5" w:rsidP="001C41DA">
      <w:pPr>
        <w:numPr>
          <w:ilvl w:val="0"/>
          <w:numId w:val="12"/>
        </w:numPr>
        <w:ind w:right="360"/>
      </w:pPr>
      <w:r>
        <w:t xml:space="preserve">ISO 19125-2 (Simple Features Access - Part 2: SQL option): </w:t>
      </w:r>
      <w:hyperlink r:id="rId66" w:history="1">
        <w:r>
          <w:rPr>
            <w:rStyle w:val="Hyperlink"/>
          </w:rPr>
          <w:t>http://www.isotc211.org/protdoc/DIS/DIS19125-2.pdf</w:t>
        </w:r>
      </w:hyperlink>
    </w:p>
    <w:p w14:paraId="798EB445" w14:textId="77777777" w:rsidR="00C414E5" w:rsidRDefault="00C414E5" w:rsidP="00EB2E3B">
      <w:pPr>
        <w:keepNext/>
        <w:ind w:right="360"/>
        <w:rPr>
          <w:b/>
          <w:u w:val="single"/>
        </w:rPr>
      </w:pPr>
      <w:r>
        <w:rPr>
          <w:b/>
          <w:u w:val="single"/>
        </w:rPr>
        <w:lastRenderedPageBreak/>
        <w:t>Other Related Specifications:</w:t>
      </w:r>
    </w:p>
    <w:p w14:paraId="72A6BC3D" w14:textId="77777777" w:rsidR="00C414E5" w:rsidRDefault="00C414E5" w:rsidP="00EB2E3B">
      <w:pPr>
        <w:numPr>
          <w:ilvl w:val="0"/>
          <w:numId w:val="12"/>
        </w:numPr>
        <w:spacing w:before="40" w:after="40"/>
      </w:pPr>
      <w:bookmarkStart w:id="231" w:name="_Ref509735170"/>
      <w:r>
        <w:t xml:space="preserve">Uniform Resource Identifiers (URI): Generic Syntax (RFC 2396) T. Berners-Lee, R. Fielding, L. Masinter, available at: </w:t>
      </w:r>
      <w:hyperlink r:id="rId67" w:history="1">
        <w:r>
          <w:t>http://www.ietf.org/rfc/rfc2396.txt</w:t>
        </w:r>
      </w:hyperlink>
      <w:bookmarkEnd w:id="231"/>
    </w:p>
    <w:p w14:paraId="01907610" w14:textId="77777777" w:rsidR="00C414E5" w:rsidRDefault="00C414E5" w:rsidP="00EB2E3B">
      <w:pPr>
        <w:numPr>
          <w:ilvl w:val="0"/>
          <w:numId w:val="12"/>
        </w:numPr>
        <w:autoSpaceDE w:val="0"/>
        <w:autoSpaceDN w:val="0"/>
        <w:adjustRightInd w:val="0"/>
        <w:spacing w:before="40" w:after="40"/>
        <w:rPr>
          <w:color w:val="000000"/>
        </w:rPr>
      </w:pPr>
      <w:r>
        <w:t xml:space="preserve">Extensible Markup Language (XML) 1.0, Second Edition, Tim Bray et al., eds., W3C, 6 October 2000. See </w:t>
      </w:r>
      <w:hyperlink r:id="rId68" w:history="1">
        <w:r>
          <w:t>http://www.w3.org/TR/2000/REC-xml-20001006</w:t>
        </w:r>
      </w:hyperlink>
      <w:r>
        <w:t xml:space="preserve"> </w:t>
      </w:r>
    </w:p>
    <w:p w14:paraId="1E0DE7B5" w14:textId="77777777" w:rsidR="00C414E5" w:rsidRDefault="00C414E5" w:rsidP="00EB2E3B">
      <w:pPr>
        <w:numPr>
          <w:ilvl w:val="0"/>
          <w:numId w:val="12"/>
        </w:numPr>
        <w:autoSpaceDE w:val="0"/>
        <w:autoSpaceDN w:val="0"/>
        <w:adjustRightInd w:val="0"/>
        <w:spacing w:before="40" w:after="40"/>
        <w:rPr>
          <w:color w:val="000000"/>
        </w:rPr>
      </w:pPr>
      <w:r>
        <w:t xml:space="preserve">XML Schema Part 1: Structures. World Wide Web Consortium (W3C). W3C Recommendation (2 May 2001). Available [online]: </w:t>
      </w:r>
      <w:hyperlink r:id="rId69" w:history="1">
        <w:r>
          <w:t>http://www.w3.org/TR/xmlschema-1/</w:t>
        </w:r>
      </w:hyperlink>
    </w:p>
    <w:p w14:paraId="167EBE75" w14:textId="77777777" w:rsidR="00C414E5" w:rsidRDefault="00C414E5" w:rsidP="00EB2E3B">
      <w:pPr>
        <w:numPr>
          <w:ilvl w:val="0"/>
          <w:numId w:val="12"/>
        </w:numPr>
        <w:spacing w:before="40" w:after="40"/>
        <w:ind w:right="360"/>
      </w:pPr>
      <w:r>
        <w:t xml:space="preserve">XML Linking Language (XLink) Version 1.0, DeRose, S., Maler, E., Orchard, D., available at </w:t>
      </w:r>
      <w:hyperlink r:id="rId70" w:history="1">
        <w:r>
          <w:t>http://www.w3.org/TR/xlink/</w:t>
        </w:r>
      </w:hyperlink>
    </w:p>
    <w:p w14:paraId="175D5A39" w14:textId="77777777" w:rsidR="00C414E5" w:rsidRDefault="00C414E5" w:rsidP="002618E8">
      <w:pPr>
        <w:ind w:right="360"/>
        <w:rPr>
          <w:b/>
          <w:u w:val="single"/>
        </w:rPr>
      </w:pPr>
      <w:bookmarkStart w:id="232" w:name="filter_spec"/>
      <w:bookmarkStart w:id="233" w:name="FeatureGeom_spec"/>
      <w:bookmarkStart w:id="234" w:name="gazetteer_spec"/>
      <w:bookmarkStart w:id="235" w:name="geoparser_spec"/>
      <w:bookmarkStart w:id="236" w:name="ISO19107_spec"/>
      <w:bookmarkStart w:id="237" w:name="Coverage_spec"/>
      <w:bookmarkStart w:id="238" w:name="LOF"/>
      <w:bookmarkStart w:id="239" w:name="SENSORML_spec"/>
      <w:bookmarkStart w:id="240" w:name="MAGIC_spec"/>
      <w:bookmarkStart w:id="241" w:name="Coord_spec"/>
      <w:bookmarkStart w:id="242" w:name="SimpleF_spec"/>
      <w:bookmarkStart w:id="243" w:name="SOAP_spec"/>
      <w:bookmarkStart w:id="244" w:name="SLD_spec"/>
      <w:bookmarkStart w:id="245" w:name="TIA_spec"/>
      <w:bookmarkStart w:id="246" w:name="W3C_spec"/>
      <w:bookmarkStart w:id="247" w:name="AS_6_spec"/>
      <w:bookmarkStart w:id="248" w:name="AS_12_spec"/>
      <w:bookmarkStart w:id="249" w:name="AS_14_spec"/>
      <w:bookmarkStart w:id="250" w:name="UDDI_spec"/>
      <w:bookmarkStart w:id="251" w:name="WCS_spec"/>
      <w:bookmarkStart w:id="252" w:name="WFS_spec"/>
      <w:bookmarkStart w:id="253" w:name="WMS_spec"/>
      <w:bookmarkStart w:id="254" w:name="Registry_spec"/>
      <w:bookmarkStart w:id="255" w:name="WSDL_spec"/>
      <w:bookmarkStart w:id="256" w:name="WSFL_spec"/>
      <w:bookmarkStart w:id="257" w:name="XIMA_spec"/>
      <w:bookmarkStart w:id="258" w:name="XLANG_spec"/>
      <w:bookmarkStart w:id="259" w:name="XLINK_spec"/>
      <w:bookmarkStart w:id="260" w:name="XML_spec"/>
      <w:bookmarkStart w:id="261" w:name="GML_temporal_spec"/>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Pr>
          <w:b/>
          <w:u w:val="single"/>
        </w:rPr>
        <w:t>Related Supporting Documents:</w:t>
      </w:r>
    </w:p>
    <w:p w14:paraId="735AF204" w14:textId="77777777" w:rsidR="00C414E5" w:rsidRDefault="00C414E5" w:rsidP="00EB2E3B">
      <w:pPr>
        <w:numPr>
          <w:ilvl w:val="0"/>
          <w:numId w:val="12"/>
        </w:numPr>
        <w:spacing w:before="40" w:after="40"/>
        <w:ind w:right="360"/>
      </w:pPr>
      <w:r w:rsidRPr="002618E8">
        <w:t>Reference Model of Open Distributed Processing [ISO/IEC 10746]</w:t>
      </w:r>
    </w:p>
    <w:p w14:paraId="1FB50913" w14:textId="0890DD19" w:rsidR="001C41DA" w:rsidRDefault="00280488" w:rsidP="00167A93">
      <w:pPr>
        <w:pStyle w:val="ListParagraph"/>
        <w:numPr>
          <w:ilvl w:val="0"/>
          <w:numId w:val="12"/>
        </w:numPr>
        <w:spacing w:after="0"/>
        <w:jc w:val="left"/>
      </w:pPr>
      <w:r w:rsidRPr="007B3A6B">
        <w:t>ISO/IEC 29182-1:2013, Information technology -- Sensor networks: Sensor Network Reference Architecture (SNRA) -- Part 1: General overview and requirements</w:t>
      </w:r>
      <w:r w:rsidR="00F9788B">
        <w:t>.</w:t>
      </w:r>
    </w:p>
    <w:sectPr w:rsidR="001C41DA" w:rsidSect="00662351">
      <w:pgSz w:w="12240" w:h="15840"/>
      <w:pgMar w:top="1440" w:right="1440" w:bottom="1440" w:left="1440" w:header="720" w:footer="864"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508278" w15:done="0"/>
  <w15:commentEx w15:paraId="0EB3D6DE" w15:done="0"/>
  <w15:commentEx w15:paraId="1A02C3BF" w15:done="0"/>
  <w15:commentEx w15:paraId="619918FE" w15:done="0"/>
  <w15:commentEx w15:paraId="64D52708" w15:paraIdParent="619918FE" w15:done="0"/>
  <w15:commentEx w15:paraId="1EE07AC0" w15:done="0"/>
  <w15:commentEx w15:paraId="77A7767C" w15:done="0"/>
  <w15:commentEx w15:paraId="48532EF2" w15:done="0"/>
  <w15:commentEx w15:paraId="29B5B9CB" w15:done="0"/>
  <w15:commentEx w15:paraId="59D1EEBD" w15:done="0"/>
  <w15:commentEx w15:paraId="151A19C7" w15:done="0"/>
  <w15:commentEx w15:paraId="41E9E259" w15:done="0"/>
  <w15:commentEx w15:paraId="29108A10" w15:done="0"/>
  <w15:commentEx w15:paraId="03853D44" w15:done="0"/>
  <w15:commentEx w15:paraId="328007EC" w15:done="0"/>
  <w15:commentEx w15:paraId="5BD02AC8" w15:done="0"/>
  <w15:commentEx w15:paraId="63D6D31F" w15:done="0"/>
  <w15:commentEx w15:paraId="67D325A5" w15:done="0"/>
  <w15:commentEx w15:paraId="5F9507F1" w15:done="0"/>
  <w15:commentEx w15:paraId="6E2D7142" w15:done="0"/>
  <w15:commentEx w15:paraId="6F74E0E3" w15:done="0"/>
  <w15:commentEx w15:paraId="10375FFD" w15:done="0"/>
  <w15:commentEx w15:paraId="7ED09778" w15:paraIdParent="10375FFD" w15:done="0"/>
  <w15:commentEx w15:paraId="46695F08" w15:paraIdParent="10375FFD" w15:done="0"/>
  <w15:commentEx w15:paraId="26AA15A1" w15:done="0"/>
  <w15:commentEx w15:paraId="77700D9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A477D" w14:textId="77777777" w:rsidR="00F9788B" w:rsidRDefault="00F9788B">
      <w:r>
        <w:separator/>
      </w:r>
    </w:p>
  </w:endnote>
  <w:endnote w:type="continuationSeparator" w:id="0">
    <w:p w14:paraId="7033A0F9" w14:textId="77777777" w:rsidR="00F9788B" w:rsidRDefault="00F9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
    <w:altName w:val="Times New Roman"/>
    <w:charset w:val="00"/>
    <w:family w:val="roman"/>
    <w:pitch w:val="default"/>
  </w:font>
  <w:font w:name="TimesNewRoman,Bold">
    <w:altName w:val="Times New Roman"/>
    <w:panose1 w:val="00000000000000000000"/>
    <w:charset w:val="80"/>
    <w:family w:val="auto"/>
    <w:notTrueType/>
    <w:pitch w:val="default"/>
    <w:sig w:usb0="00000003" w:usb1="08070000" w:usb2="00000010" w:usb3="00000000" w:csb0="00020001" w:csb1="00000000"/>
  </w:font>
  <w:font w:name="Book Antiqua">
    <w:panose1 w:val="02040602050305030304"/>
    <w:charset w:val="00"/>
    <w:family w:val="auto"/>
    <w:pitch w:val="variable"/>
    <w:sig w:usb0="00000003" w:usb1="00000000" w:usb2="00000000" w:usb3="00000000" w:csb0="00000001" w:csb1="00000000"/>
  </w:font>
  <w:font w:name="Univers 67 Condensed">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625E1" w14:textId="77777777" w:rsidR="00F9788B" w:rsidRDefault="00F9788B">
    <w:pPr>
      <w:pStyle w:val="Footer"/>
      <w:numPr>
        <w:ilvl w:val="0"/>
        <w:numId w:val="2"/>
      </w:num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E8CE5" w14:textId="77777777" w:rsidR="00F9788B" w:rsidRDefault="00F9788B">
    <w:pPr>
      <w:pStyle w:val="Footer"/>
      <w:ind w:left="0" w:firstLine="0"/>
      <w:rPr>
        <w:b/>
        <w:i/>
        <w:sz w:val="26"/>
      </w:rPr>
    </w:pPr>
    <w:r>
      <w:tab/>
      <w:t xml:space="preserve">Page </w:t>
    </w:r>
    <w:r>
      <w:rPr>
        <w:rStyle w:val="PageNumber"/>
      </w:rPr>
      <w:fldChar w:fldCharType="begin"/>
    </w:r>
    <w:r>
      <w:rPr>
        <w:rStyle w:val="PageNumber"/>
      </w:rPr>
      <w:instrText xml:space="preserve"> PAGE </w:instrText>
    </w:r>
    <w:r>
      <w:rPr>
        <w:rStyle w:val="PageNumber"/>
      </w:rPr>
      <w:fldChar w:fldCharType="separate"/>
    </w:r>
    <w:r w:rsidR="005F7546">
      <w:rPr>
        <w:rStyle w:val="PageNumber"/>
      </w:rPr>
      <w:t>26</w:t>
    </w:r>
    <w:r>
      <w:rPr>
        <w:rStyle w:val="PageNumber"/>
      </w:rPr>
      <w:fldChar w:fldCharType="end"/>
    </w:r>
    <w:bookmarkStart w:id="69" w:name="_Toc496594749"/>
    <w:bookmarkStart w:id="70" w:name="_Toc496596091"/>
    <w:bookmarkStart w:id="71" w:name="_Toc496693399"/>
    <w:bookmarkStart w:id="72" w:name="_Toc496521244"/>
    <w:bookmarkStart w:id="73" w:name="_Toc517173653"/>
    <w:bookmarkStart w:id="74" w:name="_Toc517174772"/>
    <w:bookmarkStart w:id="75" w:name="_Toc85280771"/>
    <w:bookmarkStart w:id="76" w:name="_Toc85357715"/>
    <w:bookmarkStart w:id="77" w:name="_Toc85366971"/>
    <w:bookmarkStart w:id="78" w:name="_Toc127612484"/>
    <w:bookmarkStart w:id="79" w:name="_Toc127761155"/>
    <w:bookmarkStart w:id="80" w:name="_Toc127762540"/>
    <w:bookmarkStart w:id="81" w:name="_Toc35536612"/>
    <w:bookmarkStart w:id="82" w:name="_Toc35536710"/>
    <w:bookmarkStart w:id="83" w:name="_Toc35536790"/>
    <w:bookmarkStart w:id="84" w:name="_Toc35537028"/>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46C0D" w14:textId="77777777" w:rsidR="00F9788B" w:rsidRDefault="00F9788B">
      <w:r>
        <w:separator/>
      </w:r>
    </w:p>
  </w:footnote>
  <w:footnote w:type="continuationSeparator" w:id="0">
    <w:p w14:paraId="7043C531" w14:textId="77777777" w:rsidR="00F9788B" w:rsidRDefault="00F978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89187" w14:textId="4CBF1520" w:rsidR="00F9788B" w:rsidRDefault="00F9788B">
    <w:pPr>
      <w:pStyle w:val="Header"/>
      <w:numPr>
        <w:ilvl w:val="0"/>
        <w:numId w:val="2"/>
      </w:num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77DDC" w14:textId="10BD6457" w:rsidR="00F9788B" w:rsidRDefault="00F9788B" w:rsidP="00662351">
    <w:pPr>
      <w:pStyle w:val="Header"/>
      <w:tabs>
        <w:tab w:val="clear" w:pos="8640"/>
        <w:tab w:val="right" w:pos="9360"/>
      </w:tabs>
      <w:ind w:left="0" w:firstLine="0"/>
      <w:rPr>
        <w:b/>
        <w:i/>
      </w:rPr>
    </w:pPr>
    <w:r>
      <w:rPr>
        <w:rFonts w:ascii="Arial" w:hAnsi="Arial"/>
        <w:b/>
      </w:rPr>
      <w:t xml:space="preserve">Due Date: </w:t>
    </w:r>
    <w:r>
      <w:rPr>
        <w:rFonts w:ascii="Arial" w:hAnsi="Arial"/>
        <w:b/>
      </w:rPr>
      <w:fldChar w:fldCharType="begin"/>
    </w:r>
    <w:r>
      <w:rPr>
        <w:rFonts w:ascii="Arial" w:hAnsi="Arial"/>
        <w:b/>
      </w:rPr>
      <w:instrText xml:space="preserve"> DOCPROPERTY "_ProposalDueDate"  \* MERGEFORMAT </w:instrText>
    </w:r>
    <w:r>
      <w:rPr>
        <w:rFonts w:ascii="Arial" w:hAnsi="Arial"/>
        <w:b/>
      </w:rPr>
      <w:fldChar w:fldCharType="separate"/>
    </w:r>
    <w:r w:rsidR="005F7546">
      <w:rPr>
        <w:rFonts w:ascii="Arial" w:hAnsi="Arial"/>
        <w:b/>
      </w:rPr>
      <w:t>22 May 2015</w:t>
    </w:r>
    <w:r>
      <w:rPr>
        <w:rFonts w:ascii="Arial" w:hAnsi="Arial"/>
        <w:b/>
      </w:rPr>
      <w:fldChar w:fldCharType="end"/>
    </w:r>
    <w:r>
      <w:rPr>
        <w:rFonts w:ascii="Arial" w:hAnsi="Arial"/>
        <w:b/>
      </w:rPr>
      <w:tab/>
    </w:r>
    <w:r>
      <w:rPr>
        <w:rFonts w:ascii="Arial" w:hAnsi="Arial"/>
        <w:b/>
      </w:rPr>
      <w:tab/>
      <w:t>Annex B: IMIS IoT Technical Architecture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178AD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pStyle w:val="TableBullet"/>
      <w:lvlText w:val="*"/>
      <w:lvlJc w:val="left"/>
    </w:lvl>
  </w:abstractNum>
  <w:abstractNum w:abstractNumId="2">
    <w:nsid w:val="00630138"/>
    <w:multiLevelType w:val="hybridMultilevel"/>
    <w:tmpl w:val="CBB21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747F2"/>
    <w:multiLevelType w:val="hybridMultilevel"/>
    <w:tmpl w:val="998875E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43103EE"/>
    <w:multiLevelType w:val="hybridMultilevel"/>
    <w:tmpl w:val="042C8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09125B"/>
    <w:multiLevelType w:val="hybridMultilevel"/>
    <w:tmpl w:val="FC2A6AD2"/>
    <w:lvl w:ilvl="0" w:tplc="FFFFFFF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9A6D73"/>
    <w:multiLevelType w:val="multilevel"/>
    <w:tmpl w:val="3970F5B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nsid w:val="10914031"/>
    <w:multiLevelType w:val="hybridMultilevel"/>
    <w:tmpl w:val="B51C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FF5DFC"/>
    <w:multiLevelType w:val="hybridMultilevel"/>
    <w:tmpl w:val="A59A73F8"/>
    <w:lvl w:ilvl="0" w:tplc="9DF66E5E">
      <w:start w:val="1"/>
      <w:numFmt w:val="upperLetter"/>
      <w:pStyle w:val="Task"/>
      <w:lvlText w:val="Task %1."/>
      <w:lvlJc w:val="left"/>
      <w:pPr>
        <w:tabs>
          <w:tab w:val="num" w:pos="720"/>
        </w:tabs>
        <w:ind w:left="360" w:hanging="360"/>
      </w:pPr>
      <w:rPr>
        <w:rFonts w:hint="default"/>
      </w:rPr>
    </w:lvl>
    <w:lvl w:ilvl="1" w:tplc="92EA8F94">
      <w:start w:val="1"/>
      <w:numFmt w:val="lowerLetter"/>
      <w:lvlText w:val="%2."/>
      <w:lvlJc w:val="left"/>
      <w:pPr>
        <w:tabs>
          <w:tab w:val="num" w:pos="1440"/>
        </w:tabs>
        <w:ind w:left="1440" w:hanging="360"/>
      </w:pPr>
    </w:lvl>
    <w:lvl w:ilvl="2" w:tplc="A7DE7AAE">
      <w:start w:val="1"/>
      <w:numFmt w:val="lowerRoman"/>
      <w:lvlText w:val="%3."/>
      <w:lvlJc w:val="right"/>
      <w:pPr>
        <w:tabs>
          <w:tab w:val="num" w:pos="2160"/>
        </w:tabs>
        <w:ind w:left="2160" w:hanging="180"/>
      </w:pPr>
    </w:lvl>
    <w:lvl w:ilvl="3" w:tplc="EE6087BC">
      <w:start w:val="1"/>
      <w:numFmt w:val="decimal"/>
      <w:lvlText w:val="%4."/>
      <w:lvlJc w:val="left"/>
      <w:pPr>
        <w:tabs>
          <w:tab w:val="num" w:pos="2880"/>
        </w:tabs>
        <w:ind w:left="2880" w:hanging="360"/>
      </w:pPr>
    </w:lvl>
    <w:lvl w:ilvl="4" w:tplc="D60AE0FE">
      <w:start w:val="1"/>
      <w:numFmt w:val="lowerLetter"/>
      <w:lvlText w:val="%5."/>
      <w:lvlJc w:val="left"/>
      <w:pPr>
        <w:tabs>
          <w:tab w:val="num" w:pos="3600"/>
        </w:tabs>
        <w:ind w:left="3600" w:hanging="360"/>
      </w:pPr>
    </w:lvl>
    <w:lvl w:ilvl="5" w:tplc="006C723E" w:tentative="1">
      <w:start w:val="1"/>
      <w:numFmt w:val="lowerRoman"/>
      <w:lvlText w:val="%6."/>
      <w:lvlJc w:val="right"/>
      <w:pPr>
        <w:tabs>
          <w:tab w:val="num" w:pos="4320"/>
        </w:tabs>
        <w:ind w:left="4320" w:hanging="180"/>
      </w:pPr>
    </w:lvl>
    <w:lvl w:ilvl="6" w:tplc="3766A3B2" w:tentative="1">
      <w:start w:val="1"/>
      <w:numFmt w:val="decimal"/>
      <w:lvlText w:val="%7."/>
      <w:lvlJc w:val="left"/>
      <w:pPr>
        <w:tabs>
          <w:tab w:val="num" w:pos="5040"/>
        </w:tabs>
        <w:ind w:left="5040" w:hanging="360"/>
      </w:pPr>
    </w:lvl>
    <w:lvl w:ilvl="7" w:tplc="66C27DFC" w:tentative="1">
      <w:start w:val="1"/>
      <w:numFmt w:val="lowerLetter"/>
      <w:lvlText w:val="%8."/>
      <w:lvlJc w:val="left"/>
      <w:pPr>
        <w:tabs>
          <w:tab w:val="num" w:pos="5760"/>
        </w:tabs>
        <w:ind w:left="5760" w:hanging="360"/>
      </w:pPr>
    </w:lvl>
    <w:lvl w:ilvl="8" w:tplc="CF629EAC" w:tentative="1">
      <w:start w:val="1"/>
      <w:numFmt w:val="lowerRoman"/>
      <w:lvlText w:val="%9."/>
      <w:lvlJc w:val="right"/>
      <w:pPr>
        <w:tabs>
          <w:tab w:val="num" w:pos="6480"/>
        </w:tabs>
        <w:ind w:left="6480" w:hanging="180"/>
      </w:pPr>
    </w:lvl>
  </w:abstractNum>
  <w:abstractNum w:abstractNumId="9">
    <w:nsid w:val="19656324"/>
    <w:multiLevelType w:val="hybridMultilevel"/>
    <w:tmpl w:val="F40E4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F16A4B"/>
    <w:multiLevelType w:val="hybridMultilevel"/>
    <w:tmpl w:val="DFA20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63032B"/>
    <w:multiLevelType w:val="singleLevel"/>
    <w:tmpl w:val="D81A13FA"/>
    <w:lvl w:ilvl="0">
      <w:numFmt w:val="decimal"/>
      <w:pStyle w:val="ListContinue2"/>
      <w:lvlText w:val="%1"/>
      <w:legacy w:legacy="1" w:legacySpace="0" w:legacyIndent="0"/>
      <w:lvlJc w:val="left"/>
    </w:lvl>
  </w:abstractNum>
  <w:abstractNum w:abstractNumId="12">
    <w:nsid w:val="1F2F72FB"/>
    <w:multiLevelType w:val="hybridMultilevel"/>
    <w:tmpl w:val="9E72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5A668D"/>
    <w:multiLevelType w:val="singleLevel"/>
    <w:tmpl w:val="6EE852FE"/>
    <w:lvl w:ilvl="0">
      <w:start w:val="1"/>
      <w:numFmt w:val="bullet"/>
      <w:pStyle w:val="ListBullet"/>
      <w:lvlText w:val=""/>
      <w:lvlJc w:val="left"/>
      <w:pPr>
        <w:tabs>
          <w:tab w:val="num" w:pos="360"/>
        </w:tabs>
        <w:ind w:left="360" w:hanging="360"/>
      </w:pPr>
      <w:rPr>
        <w:rFonts w:ascii="Symbol" w:hAnsi="Symbol" w:hint="default"/>
      </w:rPr>
    </w:lvl>
  </w:abstractNum>
  <w:abstractNum w:abstractNumId="14">
    <w:nsid w:val="1FDB5ABE"/>
    <w:multiLevelType w:val="multilevel"/>
    <w:tmpl w:val="0C7669AA"/>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24F7407"/>
    <w:multiLevelType w:val="hybridMultilevel"/>
    <w:tmpl w:val="1B38921A"/>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6">
    <w:nsid w:val="22F25876"/>
    <w:multiLevelType w:val="hybridMultilevel"/>
    <w:tmpl w:val="C5E0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FC78C1"/>
    <w:multiLevelType w:val="hybridMultilevel"/>
    <w:tmpl w:val="9000C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8A4FD8"/>
    <w:multiLevelType w:val="hybridMultilevel"/>
    <w:tmpl w:val="C37057A4"/>
    <w:lvl w:ilvl="0" w:tplc="03509520">
      <w:start w:val="1"/>
      <w:numFmt w:val="bullet"/>
      <w:pStyle w:val="ListBullet2"/>
      <w:lvlText w:val=""/>
      <w:lvlJc w:val="left"/>
      <w:pPr>
        <w:tabs>
          <w:tab w:val="num" w:pos="720"/>
        </w:tabs>
        <w:ind w:left="720" w:hanging="360"/>
      </w:pPr>
      <w:rPr>
        <w:rFonts w:ascii="Symbol" w:hAnsi="Symbol" w:hint="default"/>
      </w:rPr>
    </w:lvl>
    <w:lvl w:ilvl="1" w:tplc="59CA2C78" w:tentative="1">
      <w:start w:val="1"/>
      <w:numFmt w:val="bullet"/>
      <w:lvlText w:val="o"/>
      <w:lvlJc w:val="left"/>
      <w:pPr>
        <w:tabs>
          <w:tab w:val="num" w:pos="1440"/>
        </w:tabs>
        <w:ind w:left="1440" w:hanging="360"/>
      </w:pPr>
      <w:rPr>
        <w:rFonts w:ascii="Courier New" w:hAnsi="Courier New" w:hint="default"/>
      </w:rPr>
    </w:lvl>
    <w:lvl w:ilvl="2" w:tplc="85CA23BA" w:tentative="1">
      <w:start w:val="1"/>
      <w:numFmt w:val="bullet"/>
      <w:lvlText w:val=""/>
      <w:lvlJc w:val="left"/>
      <w:pPr>
        <w:tabs>
          <w:tab w:val="num" w:pos="2160"/>
        </w:tabs>
        <w:ind w:left="2160" w:hanging="360"/>
      </w:pPr>
      <w:rPr>
        <w:rFonts w:ascii="Wingdings" w:hAnsi="Wingdings" w:hint="default"/>
      </w:rPr>
    </w:lvl>
    <w:lvl w:ilvl="3" w:tplc="0C2066FC" w:tentative="1">
      <w:start w:val="1"/>
      <w:numFmt w:val="bullet"/>
      <w:lvlText w:val=""/>
      <w:lvlJc w:val="left"/>
      <w:pPr>
        <w:tabs>
          <w:tab w:val="num" w:pos="2880"/>
        </w:tabs>
        <w:ind w:left="2880" w:hanging="360"/>
      </w:pPr>
      <w:rPr>
        <w:rFonts w:ascii="Symbol" w:hAnsi="Symbol" w:hint="default"/>
      </w:rPr>
    </w:lvl>
    <w:lvl w:ilvl="4" w:tplc="5D9CBFA2" w:tentative="1">
      <w:start w:val="1"/>
      <w:numFmt w:val="bullet"/>
      <w:lvlText w:val="o"/>
      <w:lvlJc w:val="left"/>
      <w:pPr>
        <w:tabs>
          <w:tab w:val="num" w:pos="3600"/>
        </w:tabs>
        <w:ind w:left="3600" w:hanging="360"/>
      </w:pPr>
      <w:rPr>
        <w:rFonts w:ascii="Courier New" w:hAnsi="Courier New" w:hint="default"/>
      </w:rPr>
    </w:lvl>
    <w:lvl w:ilvl="5" w:tplc="45FA091E" w:tentative="1">
      <w:start w:val="1"/>
      <w:numFmt w:val="bullet"/>
      <w:lvlText w:val=""/>
      <w:lvlJc w:val="left"/>
      <w:pPr>
        <w:tabs>
          <w:tab w:val="num" w:pos="4320"/>
        </w:tabs>
        <w:ind w:left="4320" w:hanging="360"/>
      </w:pPr>
      <w:rPr>
        <w:rFonts w:ascii="Wingdings" w:hAnsi="Wingdings" w:hint="default"/>
      </w:rPr>
    </w:lvl>
    <w:lvl w:ilvl="6" w:tplc="3EEC5206" w:tentative="1">
      <w:start w:val="1"/>
      <w:numFmt w:val="bullet"/>
      <w:lvlText w:val=""/>
      <w:lvlJc w:val="left"/>
      <w:pPr>
        <w:tabs>
          <w:tab w:val="num" w:pos="5040"/>
        </w:tabs>
        <w:ind w:left="5040" w:hanging="360"/>
      </w:pPr>
      <w:rPr>
        <w:rFonts w:ascii="Symbol" w:hAnsi="Symbol" w:hint="default"/>
      </w:rPr>
    </w:lvl>
    <w:lvl w:ilvl="7" w:tplc="3C108A6C" w:tentative="1">
      <w:start w:val="1"/>
      <w:numFmt w:val="bullet"/>
      <w:lvlText w:val="o"/>
      <w:lvlJc w:val="left"/>
      <w:pPr>
        <w:tabs>
          <w:tab w:val="num" w:pos="5760"/>
        </w:tabs>
        <w:ind w:left="5760" w:hanging="360"/>
      </w:pPr>
      <w:rPr>
        <w:rFonts w:ascii="Courier New" w:hAnsi="Courier New" w:hint="default"/>
      </w:rPr>
    </w:lvl>
    <w:lvl w:ilvl="8" w:tplc="B9CEC712" w:tentative="1">
      <w:start w:val="1"/>
      <w:numFmt w:val="bullet"/>
      <w:lvlText w:val=""/>
      <w:lvlJc w:val="left"/>
      <w:pPr>
        <w:tabs>
          <w:tab w:val="num" w:pos="6480"/>
        </w:tabs>
        <w:ind w:left="6480" w:hanging="360"/>
      </w:pPr>
      <w:rPr>
        <w:rFonts w:ascii="Wingdings" w:hAnsi="Wingdings" w:hint="default"/>
      </w:rPr>
    </w:lvl>
  </w:abstractNum>
  <w:abstractNum w:abstractNumId="19">
    <w:nsid w:val="2DC47A21"/>
    <w:multiLevelType w:val="hybridMultilevel"/>
    <w:tmpl w:val="249CF3B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E1B6AC6"/>
    <w:multiLevelType w:val="hybridMultilevel"/>
    <w:tmpl w:val="EB7A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F16489"/>
    <w:multiLevelType w:val="singleLevel"/>
    <w:tmpl w:val="FEF21402"/>
    <w:lvl w:ilvl="0">
      <w:start w:val="1"/>
      <w:numFmt w:val="bullet"/>
      <w:pStyle w:val="ListBullet5"/>
      <w:lvlText w:val=""/>
      <w:lvlJc w:val="left"/>
      <w:pPr>
        <w:tabs>
          <w:tab w:val="num" w:pos="360"/>
        </w:tabs>
        <w:ind w:left="360" w:hanging="360"/>
      </w:pPr>
      <w:rPr>
        <w:rFonts w:ascii="Symbol" w:hAnsi="Symbol" w:hint="default"/>
        <w:sz w:val="16"/>
      </w:rPr>
    </w:lvl>
  </w:abstractNum>
  <w:abstractNum w:abstractNumId="22">
    <w:nsid w:val="3151208F"/>
    <w:multiLevelType w:val="multilevel"/>
    <w:tmpl w:val="59301378"/>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72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1CF1433"/>
    <w:multiLevelType w:val="multilevel"/>
    <w:tmpl w:val="42B2296A"/>
    <w:lvl w:ilvl="0">
      <w:start w:val="2"/>
      <w:numFmt w:val="decimal"/>
      <w:pStyle w:val="Heading3ListNumber"/>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C955B52"/>
    <w:multiLevelType w:val="hybridMultilevel"/>
    <w:tmpl w:val="4C3062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E074DB4"/>
    <w:multiLevelType w:val="hybridMultilevel"/>
    <w:tmpl w:val="B2D65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032804"/>
    <w:multiLevelType w:val="hybridMultilevel"/>
    <w:tmpl w:val="B4DE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5129EF"/>
    <w:multiLevelType w:val="hybridMultilevel"/>
    <w:tmpl w:val="93CA4304"/>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28">
    <w:nsid w:val="44A54394"/>
    <w:multiLevelType w:val="multilevel"/>
    <w:tmpl w:val="E0245B86"/>
    <w:lvl w:ilvl="0">
      <w:start w:val="2"/>
      <w:numFmt w:val="upperLetter"/>
      <w:lvlText w:val="Appendix %1:"/>
      <w:lvlJc w:val="left"/>
      <w:pPr>
        <w:tabs>
          <w:tab w:val="num" w:pos="1800"/>
        </w:tabs>
        <w:ind w:left="360" w:hanging="360"/>
      </w:pPr>
      <w:rPr>
        <w:rFonts w:hint="default"/>
      </w:rPr>
    </w:lvl>
    <w:lvl w:ilvl="1">
      <w:start w:val="1"/>
      <w:numFmt w:val="decimal"/>
      <w:pStyle w:val="Appendix2"/>
      <w:lvlText w:val="%1.%2."/>
      <w:lvlJc w:val="left"/>
      <w:pPr>
        <w:tabs>
          <w:tab w:val="num" w:pos="1080"/>
        </w:tabs>
        <w:ind w:left="792" w:hanging="432"/>
      </w:pPr>
      <w:rPr>
        <w:rFonts w:hint="default"/>
      </w:rPr>
    </w:lvl>
    <w:lvl w:ilvl="2">
      <w:start w:val="1"/>
      <w:numFmt w:val="decimal"/>
      <w:pStyle w:val="Appendix3"/>
      <w:lvlText w:val="%1.%2.%3."/>
      <w:lvlJc w:val="left"/>
      <w:pPr>
        <w:tabs>
          <w:tab w:val="num" w:pos="1800"/>
        </w:tabs>
        <w:ind w:left="1224" w:hanging="504"/>
      </w:pPr>
      <w:rPr>
        <w:rFonts w:hint="default"/>
      </w:rPr>
    </w:lvl>
    <w:lvl w:ilvl="3">
      <w:start w:val="1"/>
      <w:numFmt w:val="decimal"/>
      <w:pStyle w:val="Appendix4"/>
      <w:lvlText w:val="%1.%2.%3.%4."/>
      <w:lvlJc w:val="left"/>
      <w:pPr>
        <w:tabs>
          <w:tab w:val="num" w:pos="2520"/>
        </w:tabs>
        <w:ind w:left="1728" w:hanging="648"/>
      </w:pPr>
      <w:rPr>
        <w:rFonts w:hint="default"/>
      </w:rPr>
    </w:lvl>
    <w:lvl w:ilvl="4">
      <w:start w:val="1"/>
      <w:numFmt w:val="decimal"/>
      <w:pStyle w:val="Appendix5"/>
      <w:lvlText w:val="%1.%2.%3.%4.%5."/>
      <w:lvlJc w:val="left"/>
      <w:pPr>
        <w:tabs>
          <w:tab w:val="num" w:pos="3240"/>
        </w:tabs>
        <w:ind w:left="2232" w:hanging="792"/>
      </w:pPr>
      <w:rPr>
        <w:rFonts w:hint="default"/>
      </w:rPr>
    </w:lvl>
    <w:lvl w:ilvl="5">
      <w:start w:val="1"/>
      <w:numFmt w:val="decimal"/>
      <w:pStyle w:val="Appendix6"/>
      <w:lvlText w:val="%1.%2.%3.%4.%5.%6."/>
      <w:lvlJc w:val="left"/>
      <w:pPr>
        <w:tabs>
          <w:tab w:val="num" w:pos="396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45517608"/>
    <w:multiLevelType w:val="hybridMultilevel"/>
    <w:tmpl w:val="58A8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6E4588"/>
    <w:multiLevelType w:val="hybridMultilevel"/>
    <w:tmpl w:val="8E04B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118EC"/>
    <w:multiLevelType w:val="hybridMultilevel"/>
    <w:tmpl w:val="8B9A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E612F4"/>
    <w:multiLevelType w:val="hybridMultilevel"/>
    <w:tmpl w:val="A76A1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3B41D0"/>
    <w:multiLevelType w:val="hybridMultilevel"/>
    <w:tmpl w:val="15B0720E"/>
    <w:lvl w:ilvl="0" w:tplc="0666C688">
      <w:start w:val="1"/>
      <w:numFmt w:val="decimal"/>
      <w:pStyle w:val="ListNumber"/>
      <w:lvlText w:val="%1)"/>
      <w:lvlJc w:val="left"/>
      <w:pPr>
        <w:tabs>
          <w:tab w:val="num" w:pos="720"/>
        </w:tabs>
        <w:ind w:left="720" w:hanging="360"/>
      </w:pPr>
    </w:lvl>
    <w:lvl w:ilvl="1" w:tplc="E488BD64" w:tentative="1">
      <w:start w:val="1"/>
      <w:numFmt w:val="lowerLetter"/>
      <w:lvlText w:val="%2."/>
      <w:lvlJc w:val="left"/>
      <w:pPr>
        <w:tabs>
          <w:tab w:val="num" w:pos="1440"/>
        </w:tabs>
        <w:ind w:left="1440" w:hanging="360"/>
      </w:pPr>
    </w:lvl>
    <w:lvl w:ilvl="2" w:tplc="416EA82C" w:tentative="1">
      <w:start w:val="1"/>
      <w:numFmt w:val="lowerRoman"/>
      <w:lvlText w:val="%3."/>
      <w:lvlJc w:val="right"/>
      <w:pPr>
        <w:tabs>
          <w:tab w:val="num" w:pos="2160"/>
        </w:tabs>
        <w:ind w:left="2160" w:hanging="180"/>
      </w:pPr>
    </w:lvl>
    <w:lvl w:ilvl="3" w:tplc="4A306A06" w:tentative="1">
      <w:start w:val="1"/>
      <w:numFmt w:val="decimal"/>
      <w:lvlText w:val="%4."/>
      <w:lvlJc w:val="left"/>
      <w:pPr>
        <w:tabs>
          <w:tab w:val="num" w:pos="2880"/>
        </w:tabs>
        <w:ind w:left="2880" w:hanging="360"/>
      </w:pPr>
    </w:lvl>
    <w:lvl w:ilvl="4" w:tplc="F3DC04CC" w:tentative="1">
      <w:start w:val="1"/>
      <w:numFmt w:val="lowerLetter"/>
      <w:lvlText w:val="%5."/>
      <w:lvlJc w:val="left"/>
      <w:pPr>
        <w:tabs>
          <w:tab w:val="num" w:pos="3600"/>
        </w:tabs>
        <w:ind w:left="3600" w:hanging="360"/>
      </w:pPr>
    </w:lvl>
    <w:lvl w:ilvl="5" w:tplc="7B90DEC8" w:tentative="1">
      <w:start w:val="1"/>
      <w:numFmt w:val="lowerRoman"/>
      <w:lvlText w:val="%6."/>
      <w:lvlJc w:val="right"/>
      <w:pPr>
        <w:tabs>
          <w:tab w:val="num" w:pos="4320"/>
        </w:tabs>
        <w:ind w:left="4320" w:hanging="180"/>
      </w:pPr>
    </w:lvl>
    <w:lvl w:ilvl="6" w:tplc="59F8051E" w:tentative="1">
      <w:start w:val="1"/>
      <w:numFmt w:val="decimal"/>
      <w:lvlText w:val="%7."/>
      <w:lvlJc w:val="left"/>
      <w:pPr>
        <w:tabs>
          <w:tab w:val="num" w:pos="5040"/>
        </w:tabs>
        <w:ind w:left="5040" w:hanging="360"/>
      </w:pPr>
    </w:lvl>
    <w:lvl w:ilvl="7" w:tplc="BF0E1D60" w:tentative="1">
      <w:start w:val="1"/>
      <w:numFmt w:val="lowerLetter"/>
      <w:lvlText w:val="%8."/>
      <w:lvlJc w:val="left"/>
      <w:pPr>
        <w:tabs>
          <w:tab w:val="num" w:pos="5760"/>
        </w:tabs>
        <w:ind w:left="5760" w:hanging="360"/>
      </w:pPr>
    </w:lvl>
    <w:lvl w:ilvl="8" w:tplc="65B2F576" w:tentative="1">
      <w:start w:val="1"/>
      <w:numFmt w:val="lowerRoman"/>
      <w:lvlText w:val="%9."/>
      <w:lvlJc w:val="right"/>
      <w:pPr>
        <w:tabs>
          <w:tab w:val="num" w:pos="6480"/>
        </w:tabs>
        <w:ind w:left="6480" w:hanging="180"/>
      </w:pPr>
    </w:lvl>
  </w:abstractNum>
  <w:abstractNum w:abstractNumId="34">
    <w:nsid w:val="4C42556F"/>
    <w:multiLevelType w:val="hybridMultilevel"/>
    <w:tmpl w:val="76B0BF06"/>
    <w:lvl w:ilvl="0" w:tplc="BBF2D0B0">
      <w:start w:val="1"/>
      <w:numFmt w:val="decimal"/>
      <w:lvlText w:val="%1."/>
      <w:lvlJc w:val="left"/>
      <w:pPr>
        <w:ind w:left="360" w:hanging="360"/>
      </w:pPr>
    </w:lvl>
    <w:lvl w:ilvl="1" w:tplc="94A290E6">
      <w:start w:val="1"/>
      <w:numFmt w:val="lowerLetter"/>
      <w:lvlText w:val="%2."/>
      <w:lvlJc w:val="left"/>
      <w:pPr>
        <w:ind w:left="1080" w:hanging="360"/>
      </w:pPr>
    </w:lvl>
    <w:lvl w:ilvl="2" w:tplc="2D940D66" w:tentative="1">
      <w:start w:val="1"/>
      <w:numFmt w:val="lowerRoman"/>
      <w:lvlText w:val="%3."/>
      <w:lvlJc w:val="right"/>
      <w:pPr>
        <w:ind w:left="1800" w:hanging="180"/>
      </w:pPr>
    </w:lvl>
    <w:lvl w:ilvl="3" w:tplc="4EDCCA64" w:tentative="1">
      <w:start w:val="1"/>
      <w:numFmt w:val="decimal"/>
      <w:lvlText w:val="%4."/>
      <w:lvlJc w:val="left"/>
      <w:pPr>
        <w:ind w:left="2520" w:hanging="360"/>
      </w:pPr>
    </w:lvl>
    <w:lvl w:ilvl="4" w:tplc="1D8E35BC" w:tentative="1">
      <w:start w:val="1"/>
      <w:numFmt w:val="lowerLetter"/>
      <w:lvlText w:val="%5."/>
      <w:lvlJc w:val="left"/>
      <w:pPr>
        <w:ind w:left="3240" w:hanging="360"/>
      </w:pPr>
    </w:lvl>
    <w:lvl w:ilvl="5" w:tplc="FA704A76" w:tentative="1">
      <w:start w:val="1"/>
      <w:numFmt w:val="lowerRoman"/>
      <w:lvlText w:val="%6."/>
      <w:lvlJc w:val="right"/>
      <w:pPr>
        <w:ind w:left="3960" w:hanging="180"/>
      </w:pPr>
    </w:lvl>
    <w:lvl w:ilvl="6" w:tplc="F2124EBE" w:tentative="1">
      <w:start w:val="1"/>
      <w:numFmt w:val="decimal"/>
      <w:lvlText w:val="%7."/>
      <w:lvlJc w:val="left"/>
      <w:pPr>
        <w:ind w:left="4680" w:hanging="360"/>
      </w:pPr>
    </w:lvl>
    <w:lvl w:ilvl="7" w:tplc="5238900E" w:tentative="1">
      <w:start w:val="1"/>
      <w:numFmt w:val="lowerLetter"/>
      <w:lvlText w:val="%8."/>
      <w:lvlJc w:val="left"/>
      <w:pPr>
        <w:ind w:left="5400" w:hanging="360"/>
      </w:pPr>
    </w:lvl>
    <w:lvl w:ilvl="8" w:tplc="130859AC" w:tentative="1">
      <w:start w:val="1"/>
      <w:numFmt w:val="lowerRoman"/>
      <w:lvlText w:val="%9."/>
      <w:lvlJc w:val="right"/>
      <w:pPr>
        <w:ind w:left="6120" w:hanging="180"/>
      </w:pPr>
    </w:lvl>
  </w:abstractNum>
  <w:abstractNum w:abstractNumId="35">
    <w:nsid w:val="4D0F7A49"/>
    <w:multiLevelType w:val="hybridMultilevel"/>
    <w:tmpl w:val="1DF2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B7280F"/>
    <w:multiLevelType w:val="hybridMultilevel"/>
    <w:tmpl w:val="F40E4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377554"/>
    <w:multiLevelType w:val="hybridMultilevel"/>
    <w:tmpl w:val="F06A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E224F7"/>
    <w:multiLevelType w:val="hybridMultilevel"/>
    <w:tmpl w:val="AF20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AF5AA5"/>
    <w:multiLevelType w:val="hybridMultilevel"/>
    <w:tmpl w:val="4E265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416614"/>
    <w:multiLevelType w:val="hybridMultilevel"/>
    <w:tmpl w:val="B89E04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6DF7AB3"/>
    <w:multiLevelType w:val="hybridMultilevel"/>
    <w:tmpl w:val="73D8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694C6B"/>
    <w:multiLevelType w:val="hybridMultilevel"/>
    <w:tmpl w:val="901C2DB8"/>
    <w:lvl w:ilvl="0" w:tplc="B8E00342">
      <w:start w:val="1"/>
      <w:numFmt w:val="bullet"/>
      <w:lvlText w:val=""/>
      <w:legacy w:legacy="1" w:legacySpace="0" w:legacyIndent="360"/>
      <w:lvlJc w:val="left"/>
      <w:pPr>
        <w:ind w:left="1080" w:hanging="360"/>
      </w:pPr>
      <w:rPr>
        <w:rFonts w:ascii="Symbol" w:hAnsi="Symbol" w:hint="default"/>
      </w:rPr>
    </w:lvl>
    <w:lvl w:ilvl="1" w:tplc="74F66B24">
      <w:start w:val="1"/>
      <w:numFmt w:val="bullet"/>
      <w:pStyle w:val="ListBullet3"/>
      <w:lvlText w:val="o"/>
      <w:lvlJc w:val="left"/>
      <w:pPr>
        <w:tabs>
          <w:tab w:val="num" w:pos="1098"/>
        </w:tabs>
        <w:ind w:left="1098" w:hanging="360"/>
      </w:pPr>
      <w:rPr>
        <w:rFonts w:ascii="Courier New" w:hAnsi="Courier New" w:hint="default"/>
      </w:rPr>
    </w:lvl>
    <w:lvl w:ilvl="2" w:tplc="BF629E74">
      <w:start w:val="1"/>
      <w:numFmt w:val="bullet"/>
      <w:lvlText w:val=""/>
      <w:lvlJc w:val="left"/>
      <w:pPr>
        <w:tabs>
          <w:tab w:val="num" w:pos="1818"/>
        </w:tabs>
        <w:ind w:left="1818" w:hanging="360"/>
      </w:pPr>
      <w:rPr>
        <w:rFonts w:ascii="Wingdings" w:hAnsi="Wingdings" w:hint="default"/>
      </w:rPr>
    </w:lvl>
    <w:lvl w:ilvl="3" w:tplc="501E1B08">
      <w:start w:val="1"/>
      <w:numFmt w:val="bullet"/>
      <w:lvlText w:val=""/>
      <w:lvlJc w:val="left"/>
      <w:pPr>
        <w:tabs>
          <w:tab w:val="num" w:pos="2538"/>
        </w:tabs>
        <w:ind w:left="2538" w:hanging="360"/>
      </w:pPr>
      <w:rPr>
        <w:rFonts w:ascii="Symbol" w:hAnsi="Symbol" w:hint="default"/>
      </w:rPr>
    </w:lvl>
    <w:lvl w:ilvl="4" w:tplc="4AECCE32" w:tentative="1">
      <w:start w:val="1"/>
      <w:numFmt w:val="bullet"/>
      <w:lvlText w:val="o"/>
      <w:lvlJc w:val="left"/>
      <w:pPr>
        <w:tabs>
          <w:tab w:val="num" w:pos="3258"/>
        </w:tabs>
        <w:ind w:left="3258" w:hanging="360"/>
      </w:pPr>
      <w:rPr>
        <w:rFonts w:ascii="Courier New" w:hAnsi="Courier New" w:hint="default"/>
      </w:rPr>
    </w:lvl>
    <w:lvl w:ilvl="5" w:tplc="0FC8ECBA" w:tentative="1">
      <w:start w:val="1"/>
      <w:numFmt w:val="bullet"/>
      <w:lvlText w:val=""/>
      <w:lvlJc w:val="left"/>
      <w:pPr>
        <w:tabs>
          <w:tab w:val="num" w:pos="3978"/>
        </w:tabs>
        <w:ind w:left="3978" w:hanging="360"/>
      </w:pPr>
      <w:rPr>
        <w:rFonts w:ascii="Wingdings" w:hAnsi="Wingdings" w:hint="default"/>
      </w:rPr>
    </w:lvl>
    <w:lvl w:ilvl="6" w:tplc="2B26D94A" w:tentative="1">
      <w:start w:val="1"/>
      <w:numFmt w:val="bullet"/>
      <w:lvlText w:val=""/>
      <w:lvlJc w:val="left"/>
      <w:pPr>
        <w:tabs>
          <w:tab w:val="num" w:pos="4698"/>
        </w:tabs>
        <w:ind w:left="4698" w:hanging="360"/>
      </w:pPr>
      <w:rPr>
        <w:rFonts w:ascii="Symbol" w:hAnsi="Symbol" w:hint="default"/>
      </w:rPr>
    </w:lvl>
    <w:lvl w:ilvl="7" w:tplc="7CEE21FC" w:tentative="1">
      <w:start w:val="1"/>
      <w:numFmt w:val="bullet"/>
      <w:lvlText w:val="o"/>
      <w:lvlJc w:val="left"/>
      <w:pPr>
        <w:tabs>
          <w:tab w:val="num" w:pos="5418"/>
        </w:tabs>
        <w:ind w:left="5418" w:hanging="360"/>
      </w:pPr>
      <w:rPr>
        <w:rFonts w:ascii="Courier New" w:hAnsi="Courier New" w:hint="default"/>
      </w:rPr>
    </w:lvl>
    <w:lvl w:ilvl="8" w:tplc="1B0E6622" w:tentative="1">
      <w:start w:val="1"/>
      <w:numFmt w:val="bullet"/>
      <w:lvlText w:val=""/>
      <w:lvlJc w:val="left"/>
      <w:pPr>
        <w:tabs>
          <w:tab w:val="num" w:pos="6138"/>
        </w:tabs>
        <w:ind w:left="6138" w:hanging="360"/>
      </w:pPr>
      <w:rPr>
        <w:rFonts w:ascii="Wingdings" w:hAnsi="Wingdings" w:hint="default"/>
      </w:rPr>
    </w:lvl>
  </w:abstractNum>
  <w:abstractNum w:abstractNumId="43">
    <w:nsid w:val="5A6115D9"/>
    <w:multiLevelType w:val="hybridMultilevel"/>
    <w:tmpl w:val="97CE2D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BA16AA4"/>
    <w:multiLevelType w:val="hybridMultilevel"/>
    <w:tmpl w:val="BE6A5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8E3553"/>
    <w:multiLevelType w:val="hybridMultilevel"/>
    <w:tmpl w:val="D8F4A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A9327C"/>
    <w:multiLevelType w:val="hybridMultilevel"/>
    <w:tmpl w:val="EF50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D62D63"/>
    <w:multiLevelType w:val="hybridMultilevel"/>
    <w:tmpl w:val="EB92D1F2"/>
    <w:lvl w:ilvl="0" w:tplc="98E4F774">
      <w:start w:val="1"/>
      <w:numFmt w:val="bullet"/>
      <w:lvlText w:val="o"/>
      <w:lvlJc w:val="left"/>
      <w:pPr>
        <w:tabs>
          <w:tab w:val="num" w:pos="720"/>
        </w:tabs>
        <w:ind w:left="720" w:hanging="360"/>
      </w:pPr>
      <w:rPr>
        <w:rFonts w:ascii="Courier New" w:hAnsi="Courier New" w:hint="default"/>
      </w:rPr>
    </w:lvl>
    <w:lvl w:ilvl="1" w:tplc="A9A0FCF6">
      <w:start w:val="1"/>
      <w:numFmt w:val="bullet"/>
      <w:pStyle w:val="ListBullet4"/>
      <w:lvlText w:val="o"/>
      <w:lvlJc w:val="left"/>
      <w:pPr>
        <w:tabs>
          <w:tab w:val="num" w:pos="1440"/>
        </w:tabs>
        <w:ind w:left="1440" w:hanging="360"/>
      </w:pPr>
      <w:rPr>
        <w:rFonts w:ascii="Courier New" w:hAnsi="Courier New" w:hint="default"/>
      </w:rPr>
    </w:lvl>
    <w:lvl w:ilvl="2" w:tplc="F1E8D384">
      <w:start w:val="1"/>
      <w:numFmt w:val="bullet"/>
      <w:pStyle w:val="Policy"/>
      <w:lvlText w:val=""/>
      <w:lvlJc w:val="left"/>
      <w:pPr>
        <w:tabs>
          <w:tab w:val="num" w:pos="2160"/>
        </w:tabs>
        <w:ind w:left="2160" w:hanging="360"/>
      </w:pPr>
      <w:rPr>
        <w:rFonts w:ascii="Wingdings" w:hAnsi="Wingdings" w:hint="default"/>
      </w:rPr>
    </w:lvl>
    <w:lvl w:ilvl="3" w:tplc="30EA0EC2">
      <w:start w:val="1"/>
      <w:numFmt w:val="bullet"/>
      <w:lvlText w:val=""/>
      <w:lvlJc w:val="left"/>
      <w:pPr>
        <w:tabs>
          <w:tab w:val="num" w:pos="2880"/>
        </w:tabs>
        <w:ind w:left="2880" w:hanging="360"/>
      </w:pPr>
      <w:rPr>
        <w:rFonts w:ascii="Symbol" w:hAnsi="Symbol" w:hint="default"/>
      </w:rPr>
    </w:lvl>
    <w:lvl w:ilvl="4" w:tplc="A18CEA8C">
      <w:start w:val="1"/>
      <w:numFmt w:val="bullet"/>
      <w:lvlText w:val="o"/>
      <w:lvlJc w:val="left"/>
      <w:pPr>
        <w:tabs>
          <w:tab w:val="num" w:pos="3600"/>
        </w:tabs>
        <w:ind w:left="3600" w:hanging="360"/>
      </w:pPr>
      <w:rPr>
        <w:rFonts w:ascii="Courier New" w:hAnsi="Courier New" w:hint="default"/>
      </w:rPr>
    </w:lvl>
    <w:lvl w:ilvl="5" w:tplc="BA98CFFC" w:tentative="1">
      <w:start w:val="1"/>
      <w:numFmt w:val="bullet"/>
      <w:lvlText w:val=""/>
      <w:lvlJc w:val="left"/>
      <w:pPr>
        <w:tabs>
          <w:tab w:val="num" w:pos="4320"/>
        </w:tabs>
        <w:ind w:left="4320" w:hanging="360"/>
      </w:pPr>
      <w:rPr>
        <w:rFonts w:ascii="Wingdings" w:hAnsi="Wingdings" w:hint="default"/>
      </w:rPr>
    </w:lvl>
    <w:lvl w:ilvl="6" w:tplc="AB84526C" w:tentative="1">
      <w:start w:val="1"/>
      <w:numFmt w:val="bullet"/>
      <w:lvlText w:val=""/>
      <w:lvlJc w:val="left"/>
      <w:pPr>
        <w:tabs>
          <w:tab w:val="num" w:pos="5040"/>
        </w:tabs>
        <w:ind w:left="5040" w:hanging="360"/>
      </w:pPr>
      <w:rPr>
        <w:rFonts w:ascii="Symbol" w:hAnsi="Symbol" w:hint="default"/>
      </w:rPr>
    </w:lvl>
    <w:lvl w:ilvl="7" w:tplc="5D504D10" w:tentative="1">
      <w:start w:val="1"/>
      <w:numFmt w:val="bullet"/>
      <w:lvlText w:val="o"/>
      <w:lvlJc w:val="left"/>
      <w:pPr>
        <w:tabs>
          <w:tab w:val="num" w:pos="5760"/>
        </w:tabs>
        <w:ind w:left="5760" w:hanging="360"/>
      </w:pPr>
      <w:rPr>
        <w:rFonts w:ascii="Courier New" w:hAnsi="Courier New" w:hint="default"/>
      </w:rPr>
    </w:lvl>
    <w:lvl w:ilvl="8" w:tplc="C980C95E" w:tentative="1">
      <w:start w:val="1"/>
      <w:numFmt w:val="bullet"/>
      <w:lvlText w:val=""/>
      <w:lvlJc w:val="left"/>
      <w:pPr>
        <w:tabs>
          <w:tab w:val="num" w:pos="6480"/>
        </w:tabs>
        <w:ind w:left="6480" w:hanging="360"/>
      </w:pPr>
      <w:rPr>
        <w:rFonts w:ascii="Wingdings" w:hAnsi="Wingdings" w:hint="default"/>
      </w:rPr>
    </w:lvl>
  </w:abstractNum>
  <w:abstractNum w:abstractNumId="48">
    <w:nsid w:val="616A7E06"/>
    <w:multiLevelType w:val="hybridMultilevel"/>
    <w:tmpl w:val="3F3C41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7220D8"/>
    <w:multiLevelType w:val="hybridMultilevel"/>
    <w:tmpl w:val="6A3C1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601530"/>
    <w:multiLevelType w:val="hybridMultilevel"/>
    <w:tmpl w:val="FFE48D0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1">
    <w:nsid w:val="71325C6E"/>
    <w:multiLevelType w:val="hybridMultilevel"/>
    <w:tmpl w:val="457282C2"/>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52">
    <w:nsid w:val="77D32947"/>
    <w:multiLevelType w:val="hybridMultilevel"/>
    <w:tmpl w:val="83E0C5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3D6CE6"/>
    <w:multiLevelType w:val="singleLevel"/>
    <w:tmpl w:val="0CC2E498"/>
    <w:name w:val="numbered list2"/>
    <w:lvl w:ilvl="0">
      <w:start w:val="1"/>
      <w:numFmt w:val="lowerRoman"/>
      <w:pStyle w:val="ListNumber3"/>
      <w:lvlText w:val="%1)"/>
      <w:lvlJc w:val="left"/>
      <w:pPr>
        <w:tabs>
          <w:tab w:val="num" w:pos="1800"/>
        </w:tabs>
        <w:ind w:left="1440" w:hanging="360"/>
      </w:pPr>
    </w:lvl>
  </w:abstractNum>
  <w:abstractNum w:abstractNumId="54">
    <w:nsid w:val="7AEF71E1"/>
    <w:multiLevelType w:val="hybridMultilevel"/>
    <w:tmpl w:val="CAD29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B2C23CA"/>
    <w:multiLevelType w:val="hybridMultilevel"/>
    <w:tmpl w:val="5254B854"/>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num w:numId="1">
    <w:abstractNumId w:val="13"/>
  </w:num>
  <w:num w:numId="2">
    <w:abstractNumId w:val="1"/>
    <w:lvlOverride w:ilvl="0">
      <w:lvl w:ilvl="0">
        <w:start w:val="1"/>
        <w:numFmt w:val="bullet"/>
        <w:pStyle w:val="TableBullet"/>
        <w:lvlText w:val="?"/>
        <w:legacy w:legacy="1" w:legacySpace="0" w:legacyIndent="360"/>
        <w:lvlJc w:val="left"/>
        <w:pPr>
          <w:ind w:left="1080" w:hanging="360"/>
        </w:pPr>
        <w:rPr>
          <w:rFonts w:ascii="Times" w:hAnsi="Times" w:hint="default"/>
        </w:rPr>
      </w:lvl>
    </w:lvlOverride>
  </w:num>
  <w:num w:numId="3">
    <w:abstractNumId w:val="47"/>
  </w:num>
  <w:num w:numId="4">
    <w:abstractNumId w:val="42"/>
  </w:num>
  <w:num w:numId="5">
    <w:abstractNumId w:val="11"/>
  </w:num>
  <w:num w:numId="6">
    <w:abstractNumId w:val="21"/>
  </w:num>
  <w:num w:numId="7">
    <w:abstractNumId w:val="8"/>
  </w:num>
  <w:num w:numId="8">
    <w:abstractNumId w:val="6"/>
  </w:num>
  <w:num w:numId="9">
    <w:abstractNumId w:val="18"/>
  </w:num>
  <w:num w:numId="10">
    <w:abstractNumId w:val="33"/>
  </w:num>
  <w:num w:numId="11">
    <w:abstractNumId w:val="28"/>
  </w:num>
  <w:num w:numId="12">
    <w:abstractNumId w:val="5"/>
  </w:num>
  <w:num w:numId="13">
    <w:abstractNumId w:val="53"/>
  </w:num>
  <w:num w:numId="14">
    <w:abstractNumId w:val="24"/>
  </w:num>
  <w:num w:numId="15">
    <w:abstractNumId w:val="3"/>
  </w:num>
  <w:num w:numId="16">
    <w:abstractNumId w:val="23"/>
  </w:num>
  <w:num w:numId="17">
    <w:abstractNumId w:val="12"/>
  </w:num>
  <w:num w:numId="18">
    <w:abstractNumId w:val="37"/>
  </w:num>
  <w:num w:numId="19">
    <w:abstractNumId w:val="46"/>
  </w:num>
  <w:num w:numId="20">
    <w:abstractNumId w:val="52"/>
  </w:num>
  <w:num w:numId="21">
    <w:abstractNumId w:val="19"/>
  </w:num>
  <w:num w:numId="22">
    <w:abstractNumId w:val="39"/>
  </w:num>
  <w:num w:numId="23">
    <w:abstractNumId w:val="20"/>
  </w:num>
  <w:num w:numId="24">
    <w:abstractNumId w:val="54"/>
  </w:num>
  <w:num w:numId="25">
    <w:abstractNumId w:val="40"/>
  </w:num>
  <w:num w:numId="26">
    <w:abstractNumId w:val="44"/>
  </w:num>
  <w:num w:numId="27">
    <w:abstractNumId w:val="32"/>
  </w:num>
  <w:num w:numId="28">
    <w:abstractNumId w:val="30"/>
  </w:num>
  <w:num w:numId="29">
    <w:abstractNumId w:val="17"/>
  </w:num>
  <w:num w:numId="30">
    <w:abstractNumId w:val="48"/>
  </w:num>
  <w:num w:numId="31">
    <w:abstractNumId w:val="0"/>
  </w:num>
  <w:num w:numId="32">
    <w:abstractNumId w:val="43"/>
  </w:num>
  <w:num w:numId="33">
    <w:abstractNumId w:val="22"/>
  </w:num>
  <w:num w:numId="34">
    <w:abstractNumId w:val="14"/>
  </w:num>
  <w:num w:numId="35">
    <w:abstractNumId w:val="35"/>
  </w:num>
  <w:num w:numId="36">
    <w:abstractNumId w:val="6"/>
  </w:num>
  <w:num w:numId="37">
    <w:abstractNumId w:val="34"/>
  </w:num>
  <w:num w:numId="38">
    <w:abstractNumId w:val="26"/>
  </w:num>
  <w:num w:numId="39">
    <w:abstractNumId w:val="10"/>
  </w:num>
  <w:num w:numId="40">
    <w:abstractNumId w:val="36"/>
  </w:num>
  <w:num w:numId="41">
    <w:abstractNumId w:val="50"/>
  </w:num>
  <w:num w:numId="42">
    <w:abstractNumId w:val="15"/>
  </w:num>
  <w:num w:numId="43">
    <w:abstractNumId w:val="25"/>
  </w:num>
  <w:num w:numId="44">
    <w:abstractNumId w:val="51"/>
  </w:num>
  <w:num w:numId="45">
    <w:abstractNumId w:val="27"/>
  </w:num>
  <w:num w:numId="46">
    <w:abstractNumId w:val="55"/>
  </w:num>
  <w:num w:numId="47">
    <w:abstractNumId w:val="38"/>
  </w:num>
  <w:num w:numId="48">
    <w:abstractNumId w:val="9"/>
  </w:num>
  <w:num w:numId="49">
    <w:abstractNumId w:val="6"/>
  </w:num>
  <w:num w:numId="50">
    <w:abstractNumId w:val="6"/>
  </w:num>
  <w:num w:numId="51">
    <w:abstractNumId w:val="6"/>
  </w:num>
  <w:num w:numId="52">
    <w:abstractNumId w:val="6"/>
  </w:num>
  <w:num w:numId="53">
    <w:abstractNumId w:val="6"/>
  </w:num>
  <w:num w:numId="54">
    <w:abstractNumId w:val="6"/>
  </w:num>
  <w:num w:numId="55">
    <w:abstractNumId w:val="6"/>
  </w:num>
  <w:num w:numId="56">
    <w:abstractNumId w:val="6"/>
  </w:num>
  <w:num w:numId="57">
    <w:abstractNumId w:val="6"/>
  </w:num>
  <w:num w:numId="58">
    <w:abstractNumId w:val="6"/>
  </w:num>
  <w:num w:numId="59">
    <w:abstractNumId w:val="6"/>
  </w:num>
  <w:num w:numId="60">
    <w:abstractNumId w:val="6"/>
  </w:num>
  <w:num w:numId="61">
    <w:abstractNumId w:val="6"/>
  </w:num>
  <w:num w:numId="62">
    <w:abstractNumId w:val="6"/>
  </w:num>
  <w:num w:numId="63">
    <w:abstractNumId w:val="6"/>
  </w:num>
  <w:num w:numId="64">
    <w:abstractNumId w:val="6"/>
  </w:num>
  <w:num w:numId="65">
    <w:abstractNumId w:val="6"/>
  </w:num>
  <w:num w:numId="66">
    <w:abstractNumId w:val="6"/>
  </w:num>
  <w:num w:numId="67">
    <w:abstractNumId w:val="6"/>
  </w:num>
  <w:num w:numId="68">
    <w:abstractNumId w:val="6"/>
  </w:num>
  <w:num w:numId="69">
    <w:abstractNumId w:val="6"/>
  </w:num>
  <w:num w:numId="70">
    <w:abstractNumId w:val="6"/>
  </w:num>
  <w:num w:numId="71">
    <w:abstractNumId w:val="6"/>
  </w:num>
  <w:num w:numId="72">
    <w:abstractNumId w:val="6"/>
  </w:num>
  <w:num w:numId="73">
    <w:abstractNumId w:val="6"/>
  </w:num>
  <w:num w:numId="74">
    <w:abstractNumId w:val="6"/>
  </w:num>
  <w:num w:numId="75">
    <w:abstractNumId w:val="6"/>
  </w:num>
  <w:num w:numId="76">
    <w:abstractNumId w:val="6"/>
  </w:num>
  <w:num w:numId="77">
    <w:abstractNumId w:val="41"/>
  </w:num>
  <w:num w:numId="78">
    <w:abstractNumId w:val="2"/>
  </w:num>
  <w:num w:numId="79">
    <w:abstractNumId w:val="31"/>
  </w:num>
  <w:num w:numId="80">
    <w:abstractNumId w:val="29"/>
  </w:num>
  <w:num w:numId="81">
    <w:abstractNumId w:val="7"/>
  </w:num>
  <w:num w:numId="82">
    <w:abstractNumId w:val="49"/>
  </w:num>
  <w:num w:numId="83">
    <w:abstractNumId w:val="45"/>
  </w:num>
  <w:num w:numId="84">
    <w:abstractNumId w:val="16"/>
  </w:num>
  <w:num w:numId="85">
    <w:abstractNumId w:val="4"/>
  </w:num>
  <w:numIdMacAtCleanup w:val="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Dundas">
    <w15:presenceInfo w15:providerId="AD" w15:userId="S-1-5-21-2538033850-2058802937-3753384772-36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0"/>
  <w:activeWritingStyle w:appName="MSWord" w:lang="en-US" w:vendorID="64" w:dllVersion="131078" w:nlCheck="1" w:checkStyle="1"/>
  <w:proofState w:spelling="clean" w:grammar="clean"/>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573"/>
    <w:rsid w:val="00000725"/>
    <w:rsid w:val="00001AC8"/>
    <w:rsid w:val="00004D9F"/>
    <w:rsid w:val="0000682E"/>
    <w:rsid w:val="00012359"/>
    <w:rsid w:val="00013857"/>
    <w:rsid w:val="00016B8F"/>
    <w:rsid w:val="00017111"/>
    <w:rsid w:val="000239B8"/>
    <w:rsid w:val="00024AAB"/>
    <w:rsid w:val="00031726"/>
    <w:rsid w:val="000448FD"/>
    <w:rsid w:val="00051280"/>
    <w:rsid w:val="000521BD"/>
    <w:rsid w:val="000522C7"/>
    <w:rsid w:val="00052BEE"/>
    <w:rsid w:val="00053887"/>
    <w:rsid w:val="000552CF"/>
    <w:rsid w:val="00056B58"/>
    <w:rsid w:val="00064B5F"/>
    <w:rsid w:val="00066ADD"/>
    <w:rsid w:val="00067D65"/>
    <w:rsid w:val="00070F69"/>
    <w:rsid w:val="0007638B"/>
    <w:rsid w:val="0008083C"/>
    <w:rsid w:val="00084919"/>
    <w:rsid w:val="00087AAA"/>
    <w:rsid w:val="00094376"/>
    <w:rsid w:val="0009471E"/>
    <w:rsid w:val="000A1ABA"/>
    <w:rsid w:val="000A4273"/>
    <w:rsid w:val="000A7CD6"/>
    <w:rsid w:val="000B15E2"/>
    <w:rsid w:val="000B3022"/>
    <w:rsid w:val="000B47DE"/>
    <w:rsid w:val="000C0308"/>
    <w:rsid w:val="000C2FF9"/>
    <w:rsid w:val="000C3438"/>
    <w:rsid w:val="000C45E5"/>
    <w:rsid w:val="000C7B74"/>
    <w:rsid w:val="000E0B94"/>
    <w:rsid w:val="000E0CE0"/>
    <w:rsid w:val="000E7030"/>
    <w:rsid w:val="000F18D5"/>
    <w:rsid w:val="000F5245"/>
    <w:rsid w:val="000F5637"/>
    <w:rsid w:val="000F595C"/>
    <w:rsid w:val="000F797B"/>
    <w:rsid w:val="000F7A40"/>
    <w:rsid w:val="00104ADA"/>
    <w:rsid w:val="001104BB"/>
    <w:rsid w:val="0011726E"/>
    <w:rsid w:val="00117F4B"/>
    <w:rsid w:val="00122451"/>
    <w:rsid w:val="00123215"/>
    <w:rsid w:val="00124743"/>
    <w:rsid w:val="00126D15"/>
    <w:rsid w:val="00136EF9"/>
    <w:rsid w:val="00137254"/>
    <w:rsid w:val="0013744F"/>
    <w:rsid w:val="0014002D"/>
    <w:rsid w:val="001403DD"/>
    <w:rsid w:val="00141D94"/>
    <w:rsid w:val="00145105"/>
    <w:rsid w:val="00147198"/>
    <w:rsid w:val="001510FF"/>
    <w:rsid w:val="00151ABE"/>
    <w:rsid w:val="001522BD"/>
    <w:rsid w:val="001576D5"/>
    <w:rsid w:val="00160F83"/>
    <w:rsid w:val="00162341"/>
    <w:rsid w:val="00166D20"/>
    <w:rsid w:val="00167A93"/>
    <w:rsid w:val="00170342"/>
    <w:rsid w:val="00175CDD"/>
    <w:rsid w:val="00181022"/>
    <w:rsid w:val="001829A0"/>
    <w:rsid w:val="00183BDB"/>
    <w:rsid w:val="00187C5B"/>
    <w:rsid w:val="00190E4D"/>
    <w:rsid w:val="00191784"/>
    <w:rsid w:val="00192135"/>
    <w:rsid w:val="001939B2"/>
    <w:rsid w:val="00195DAC"/>
    <w:rsid w:val="001973E9"/>
    <w:rsid w:val="001A1797"/>
    <w:rsid w:val="001A3D52"/>
    <w:rsid w:val="001A4870"/>
    <w:rsid w:val="001A4F2F"/>
    <w:rsid w:val="001A5255"/>
    <w:rsid w:val="001A74DD"/>
    <w:rsid w:val="001A7C58"/>
    <w:rsid w:val="001A7D94"/>
    <w:rsid w:val="001B4D5A"/>
    <w:rsid w:val="001B6DB4"/>
    <w:rsid w:val="001C41DA"/>
    <w:rsid w:val="001C5605"/>
    <w:rsid w:val="001D3C5F"/>
    <w:rsid w:val="001D5547"/>
    <w:rsid w:val="001D55CA"/>
    <w:rsid w:val="001D7F61"/>
    <w:rsid w:val="001E0991"/>
    <w:rsid w:val="001E1E71"/>
    <w:rsid w:val="001E2200"/>
    <w:rsid w:val="001E356C"/>
    <w:rsid w:val="001E5549"/>
    <w:rsid w:val="001E68F4"/>
    <w:rsid w:val="001E7331"/>
    <w:rsid w:val="001E7F99"/>
    <w:rsid w:val="001F02E8"/>
    <w:rsid w:val="001F17F0"/>
    <w:rsid w:val="001F5BE1"/>
    <w:rsid w:val="001F72CD"/>
    <w:rsid w:val="0020015A"/>
    <w:rsid w:val="002058DC"/>
    <w:rsid w:val="002075FB"/>
    <w:rsid w:val="0021058E"/>
    <w:rsid w:val="002117FE"/>
    <w:rsid w:val="00212E25"/>
    <w:rsid w:val="0021336D"/>
    <w:rsid w:val="00215BB7"/>
    <w:rsid w:val="00216C69"/>
    <w:rsid w:val="00217297"/>
    <w:rsid w:val="0021754A"/>
    <w:rsid w:val="00225396"/>
    <w:rsid w:val="00227065"/>
    <w:rsid w:val="002321B9"/>
    <w:rsid w:val="002332A8"/>
    <w:rsid w:val="00237784"/>
    <w:rsid w:val="00246BDC"/>
    <w:rsid w:val="002473BA"/>
    <w:rsid w:val="00252195"/>
    <w:rsid w:val="00253B37"/>
    <w:rsid w:val="00257545"/>
    <w:rsid w:val="00257DF3"/>
    <w:rsid w:val="002618E8"/>
    <w:rsid w:val="002628C1"/>
    <w:rsid w:val="0026345D"/>
    <w:rsid w:val="00265C36"/>
    <w:rsid w:val="00267597"/>
    <w:rsid w:val="00280488"/>
    <w:rsid w:val="0028293B"/>
    <w:rsid w:val="00296301"/>
    <w:rsid w:val="00297399"/>
    <w:rsid w:val="00297C48"/>
    <w:rsid w:val="002A322E"/>
    <w:rsid w:val="002A3948"/>
    <w:rsid w:val="002A4AE7"/>
    <w:rsid w:val="002A53FC"/>
    <w:rsid w:val="002B0BF4"/>
    <w:rsid w:val="002B105A"/>
    <w:rsid w:val="002B327A"/>
    <w:rsid w:val="002B3C07"/>
    <w:rsid w:val="002B40C7"/>
    <w:rsid w:val="002B5BDA"/>
    <w:rsid w:val="002B5DE5"/>
    <w:rsid w:val="002B5F68"/>
    <w:rsid w:val="002C267A"/>
    <w:rsid w:val="002D0A74"/>
    <w:rsid w:val="002D105F"/>
    <w:rsid w:val="002D4F9D"/>
    <w:rsid w:val="002E1BB8"/>
    <w:rsid w:val="002E270C"/>
    <w:rsid w:val="002E7453"/>
    <w:rsid w:val="002F43FD"/>
    <w:rsid w:val="002F551F"/>
    <w:rsid w:val="0030464C"/>
    <w:rsid w:val="00314452"/>
    <w:rsid w:val="00316A2D"/>
    <w:rsid w:val="00320B35"/>
    <w:rsid w:val="003237AE"/>
    <w:rsid w:val="003267D7"/>
    <w:rsid w:val="00326A94"/>
    <w:rsid w:val="0033504E"/>
    <w:rsid w:val="003433AC"/>
    <w:rsid w:val="00344302"/>
    <w:rsid w:val="003460B7"/>
    <w:rsid w:val="00346A2F"/>
    <w:rsid w:val="00350766"/>
    <w:rsid w:val="0035417C"/>
    <w:rsid w:val="00357EC9"/>
    <w:rsid w:val="00363462"/>
    <w:rsid w:val="003720D0"/>
    <w:rsid w:val="00383FA5"/>
    <w:rsid w:val="0039319C"/>
    <w:rsid w:val="00393573"/>
    <w:rsid w:val="00394015"/>
    <w:rsid w:val="003A0D07"/>
    <w:rsid w:val="003A4A02"/>
    <w:rsid w:val="003B441B"/>
    <w:rsid w:val="003B63EE"/>
    <w:rsid w:val="003C30A7"/>
    <w:rsid w:val="003C35A3"/>
    <w:rsid w:val="003C3675"/>
    <w:rsid w:val="003C5769"/>
    <w:rsid w:val="003D30D7"/>
    <w:rsid w:val="003D5580"/>
    <w:rsid w:val="003E44ED"/>
    <w:rsid w:val="003E7B9D"/>
    <w:rsid w:val="003F67C0"/>
    <w:rsid w:val="003F73C2"/>
    <w:rsid w:val="0040051D"/>
    <w:rsid w:val="00401E92"/>
    <w:rsid w:val="004027BD"/>
    <w:rsid w:val="00405EDF"/>
    <w:rsid w:val="00406248"/>
    <w:rsid w:val="00407BAA"/>
    <w:rsid w:val="00414832"/>
    <w:rsid w:val="00420A52"/>
    <w:rsid w:val="00420D47"/>
    <w:rsid w:val="0042241E"/>
    <w:rsid w:val="00430493"/>
    <w:rsid w:val="004312B4"/>
    <w:rsid w:val="00434B53"/>
    <w:rsid w:val="004360EC"/>
    <w:rsid w:val="00437201"/>
    <w:rsid w:val="00437A0C"/>
    <w:rsid w:val="00441BE2"/>
    <w:rsid w:val="00447326"/>
    <w:rsid w:val="00456B17"/>
    <w:rsid w:val="00457939"/>
    <w:rsid w:val="00460CC6"/>
    <w:rsid w:val="0046178F"/>
    <w:rsid w:val="0046443B"/>
    <w:rsid w:val="00464611"/>
    <w:rsid w:val="00465B8B"/>
    <w:rsid w:val="004674BC"/>
    <w:rsid w:val="00467DFF"/>
    <w:rsid w:val="0047069E"/>
    <w:rsid w:val="00472F31"/>
    <w:rsid w:val="00473B20"/>
    <w:rsid w:val="00475D69"/>
    <w:rsid w:val="00477144"/>
    <w:rsid w:val="00480ED5"/>
    <w:rsid w:val="0048203A"/>
    <w:rsid w:val="004856C0"/>
    <w:rsid w:val="004905AC"/>
    <w:rsid w:val="00490C90"/>
    <w:rsid w:val="004911F5"/>
    <w:rsid w:val="00493794"/>
    <w:rsid w:val="00494DA6"/>
    <w:rsid w:val="00496EFA"/>
    <w:rsid w:val="004A54D9"/>
    <w:rsid w:val="004A6C8A"/>
    <w:rsid w:val="004B07A8"/>
    <w:rsid w:val="004B3E5C"/>
    <w:rsid w:val="004B43BA"/>
    <w:rsid w:val="004B485B"/>
    <w:rsid w:val="004C212B"/>
    <w:rsid w:val="004C5732"/>
    <w:rsid w:val="004C5C61"/>
    <w:rsid w:val="004C6962"/>
    <w:rsid w:val="004C6CFF"/>
    <w:rsid w:val="004C6FB8"/>
    <w:rsid w:val="004C71D3"/>
    <w:rsid w:val="004D2CE5"/>
    <w:rsid w:val="004D76CC"/>
    <w:rsid w:val="004F2DC6"/>
    <w:rsid w:val="004F35F0"/>
    <w:rsid w:val="00504711"/>
    <w:rsid w:val="0050546C"/>
    <w:rsid w:val="005058CA"/>
    <w:rsid w:val="005065A1"/>
    <w:rsid w:val="005066F2"/>
    <w:rsid w:val="00506945"/>
    <w:rsid w:val="0051189F"/>
    <w:rsid w:val="00513495"/>
    <w:rsid w:val="00514C4F"/>
    <w:rsid w:val="00515998"/>
    <w:rsid w:val="0051599A"/>
    <w:rsid w:val="00522B3C"/>
    <w:rsid w:val="00523A4F"/>
    <w:rsid w:val="00524C4D"/>
    <w:rsid w:val="00527EA0"/>
    <w:rsid w:val="00534934"/>
    <w:rsid w:val="00536480"/>
    <w:rsid w:val="00536832"/>
    <w:rsid w:val="00540A2E"/>
    <w:rsid w:val="005433B5"/>
    <w:rsid w:val="00543AD6"/>
    <w:rsid w:val="00544FBB"/>
    <w:rsid w:val="005637DE"/>
    <w:rsid w:val="00563D71"/>
    <w:rsid w:val="00573F0C"/>
    <w:rsid w:val="00575615"/>
    <w:rsid w:val="00592B59"/>
    <w:rsid w:val="005931A5"/>
    <w:rsid w:val="00594E64"/>
    <w:rsid w:val="005A1A73"/>
    <w:rsid w:val="005A1E6F"/>
    <w:rsid w:val="005A59AC"/>
    <w:rsid w:val="005B276D"/>
    <w:rsid w:val="005B72B0"/>
    <w:rsid w:val="005C19E1"/>
    <w:rsid w:val="005C31EE"/>
    <w:rsid w:val="005C47E1"/>
    <w:rsid w:val="005D60B8"/>
    <w:rsid w:val="005E0AF7"/>
    <w:rsid w:val="005E482C"/>
    <w:rsid w:val="005E5BAE"/>
    <w:rsid w:val="005E6B43"/>
    <w:rsid w:val="005E73C4"/>
    <w:rsid w:val="005F4A2D"/>
    <w:rsid w:val="005F7546"/>
    <w:rsid w:val="006011E5"/>
    <w:rsid w:val="0061111B"/>
    <w:rsid w:val="0061262D"/>
    <w:rsid w:val="00615B4E"/>
    <w:rsid w:val="00624A41"/>
    <w:rsid w:val="00630D45"/>
    <w:rsid w:val="0063232C"/>
    <w:rsid w:val="006327A7"/>
    <w:rsid w:val="006343C2"/>
    <w:rsid w:val="0063591A"/>
    <w:rsid w:val="00637EAD"/>
    <w:rsid w:val="00647034"/>
    <w:rsid w:val="00656EE7"/>
    <w:rsid w:val="00657ED4"/>
    <w:rsid w:val="0066112F"/>
    <w:rsid w:val="006621CA"/>
    <w:rsid w:val="00662322"/>
    <w:rsid w:val="00662351"/>
    <w:rsid w:val="006628DD"/>
    <w:rsid w:val="0066340E"/>
    <w:rsid w:val="00667CFC"/>
    <w:rsid w:val="00675CEB"/>
    <w:rsid w:val="00677456"/>
    <w:rsid w:val="00681741"/>
    <w:rsid w:val="0068741D"/>
    <w:rsid w:val="00694225"/>
    <w:rsid w:val="0069721A"/>
    <w:rsid w:val="006A3BC4"/>
    <w:rsid w:val="006B1040"/>
    <w:rsid w:val="006C1697"/>
    <w:rsid w:val="006C7B2E"/>
    <w:rsid w:val="006D0527"/>
    <w:rsid w:val="006D46C5"/>
    <w:rsid w:val="006E29BC"/>
    <w:rsid w:val="00701B1F"/>
    <w:rsid w:val="00703BE0"/>
    <w:rsid w:val="007040AE"/>
    <w:rsid w:val="00704EE4"/>
    <w:rsid w:val="00707C99"/>
    <w:rsid w:val="00707E40"/>
    <w:rsid w:val="00712F39"/>
    <w:rsid w:val="007151DA"/>
    <w:rsid w:val="00716B5D"/>
    <w:rsid w:val="00717F65"/>
    <w:rsid w:val="0072256D"/>
    <w:rsid w:val="00723FD9"/>
    <w:rsid w:val="0074066C"/>
    <w:rsid w:val="00740857"/>
    <w:rsid w:val="00742B41"/>
    <w:rsid w:val="007430C3"/>
    <w:rsid w:val="0074796D"/>
    <w:rsid w:val="00747FDE"/>
    <w:rsid w:val="007522CF"/>
    <w:rsid w:val="007542A6"/>
    <w:rsid w:val="00754489"/>
    <w:rsid w:val="0075555B"/>
    <w:rsid w:val="007561A4"/>
    <w:rsid w:val="00756C24"/>
    <w:rsid w:val="0076170E"/>
    <w:rsid w:val="0076460F"/>
    <w:rsid w:val="0076685E"/>
    <w:rsid w:val="0077091E"/>
    <w:rsid w:val="00777A8D"/>
    <w:rsid w:val="00785B0D"/>
    <w:rsid w:val="007917AA"/>
    <w:rsid w:val="00792C7F"/>
    <w:rsid w:val="00793D74"/>
    <w:rsid w:val="007A07F2"/>
    <w:rsid w:val="007A41FB"/>
    <w:rsid w:val="007A5C17"/>
    <w:rsid w:val="007B7DEB"/>
    <w:rsid w:val="007C1338"/>
    <w:rsid w:val="007C50CD"/>
    <w:rsid w:val="007D06F1"/>
    <w:rsid w:val="007E0D24"/>
    <w:rsid w:val="007F4217"/>
    <w:rsid w:val="007F60FF"/>
    <w:rsid w:val="00802472"/>
    <w:rsid w:val="00810CD7"/>
    <w:rsid w:val="008136D4"/>
    <w:rsid w:val="00822167"/>
    <w:rsid w:val="00826453"/>
    <w:rsid w:val="00836D4C"/>
    <w:rsid w:val="00840788"/>
    <w:rsid w:val="008421BC"/>
    <w:rsid w:val="00845030"/>
    <w:rsid w:val="008452DD"/>
    <w:rsid w:val="008460D1"/>
    <w:rsid w:val="00846282"/>
    <w:rsid w:val="00850845"/>
    <w:rsid w:val="008573C7"/>
    <w:rsid w:val="00862541"/>
    <w:rsid w:val="00867FBD"/>
    <w:rsid w:val="008715F2"/>
    <w:rsid w:val="0087203E"/>
    <w:rsid w:val="00872AD5"/>
    <w:rsid w:val="00873392"/>
    <w:rsid w:val="00874A29"/>
    <w:rsid w:val="00877654"/>
    <w:rsid w:val="008829E1"/>
    <w:rsid w:val="00883F7D"/>
    <w:rsid w:val="00885215"/>
    <w:rsid w:val="00885E3B"/>
    <w:rsid w:val="00891DDD"/>
    <w:rsid w:val="00892F4B"/>
    <w:rsid w:val="00892F53"/>
    <w:rsid w:val="008969BE"/>
    <w:rsid w:val="00896BD7"/>
    <w:rsid w:val="008A3560"/>
    <w:rsid w:val="008A45CB"/>
    <w:rsid w:val="008B076E"/>
    <w:rsid w:val="008B14B9"/>
    <w:rsid w:val="008B16C3"/>
    <w:rsid w:val="008B32A9"/>
    <w:rsid w:val="008C54D8"/>
    <w:rsid w:val="008C6FA8"/>
    <w:rsid w:val="008D01DE"/>
    <w:rsid w:val="008D4548"/>
    <w:rsid w:val="008D7AF8"/>
    <w:rsid w:val="008E192A"/>
    <w:rsid w:val="008E2221"/>
    <w:rsid w:val="008E48B3"/>
    <w:rsid w:val="008F286F"/>
    <w:rsid w:val="008F3D8A"/>
    <w:rsid w:val="008F5DB1"/>
    <w:rsid w:val="008F75A7"/>
    <w:rsid w:val="008F75FF"/>
    <w:rsid w:val="008F7814"/>
    <w:rsid w:val="008F7EEA"/>
    <w:rsid w:val="00900148"/>
    <w:rsid w:val="00902367"/>
    <w:rsid w:val="009045EC"/>
    <w:rsid w:val="009054AC"/>
    <w:rsid w:val="0092542E"/>
    <w:rsid w:val="009259FF"/>
    <w:rsid w:val="00926D3A"/>
    <w:rsid w:val="00940D4A"/>
    <w:rsid w:val="009442A5"/>
    <w:rsid w:val="00944B4F"/>
    <w:rsid w:val="009451A0"/>
    <w:rsid w:val="00946653"/>
    <w:rsid w:val="00953D1D"/>
    <w:rsid w:val="00953D5F"/>
    <w:rsid w:val="00953E96"/>
    <w:rsid w:val="00956076"/>
    <w:rsid w:val="00964B59"/>
    <w:rsid w:val="009710A6"/>
    <w:rsid w:val="00972C21"/>
    <w:rsid w:val="00974C3D"/>
    <w:rsid w:val="009832DF"/>
    <w:rsid w:val="009917FE"/>
    <w:rsid w:val="00993C0B"/>
    <w:rsid w:val="0099724E"/>
    <w:rsid w:val="009A0522"/>
    <w:rsid w:val="009A16A3"/>
    <w:rsid w:val="009A1C20"/>
    <w:rsid w:val="009A29A9"/>
    <w:rsid w:val="009A2E73"/>
    <w:rsid w:val="009A4835"/>
    <w:rsid w:val="009A6702"/>
    <w:rsid w:val="009B6FAF"/>
    <w:rsid w:val="009C2E20"/>
    <w:rsid w:val="009C7AD3"/>
    <w:rsid w:val="009D4C45"/>
    <w:rsid w:val="009E085F"/>
    <w:rsid w:val="009E35F5"/>
    <w:rsid w:val="009E3A9C"/>
    <w:rsid w:val="009E54F5"/>
    <w:rsid w:val="009E5B5C"/>
    <w:rsid w:val="009E6504"/>
    <w:rsid w:val="009F2A5A"/>
    <w:rsid w:val="009F65AD"/>
    <w:rsid w:val="00A02AA5"/>
    <w:rsid w:val="00A033EB"/>
    <w:rsid w:val="00A10882"/>
    <w:rsid w:val="00A10FA9"/>
    <w:rsid w:val="00A14678"/>
    <w:rsid w:val="00A17A35"/>
    <w:rsid w:val="00A3037B"/>
    <w:rsid w:val="00A30400"/>
    <w:rsid w:val="00A31F25"/>
    <w:rsid w:val="00A3423D"/>
    <w:rsid w:val="00A373E8"/>
    <w:rsid w:val="00A41A1E"/>
    <w:rsid w:val="00A426CF"/>
    <w:rsid w:val="00A42E6D"/>
    <w:rsid w:val="00A43286"/>
    <w:rsid w:val="00A43CC9"/>
    <w:rsid w:val="00A44172"/>
    <w:rsid w:val="00A5233D"/>
    <w:rsid w:val="00A534DF"/>
    <w:rsid w:val="00A5414D"/>
    <w:rsid w:val="00A57B4E"/>
    <w:rsid w:val="00A664DF"/>
    <w:rsid w:val="00A701B3"/>
    <w:rsid w:val="00A72225"/>
    <w:rsid w:val="00A74D77"/>
    <w:rsid w:val="00A764A1"/>
    <w:rsid w:val="00A82237"/>
    <w:rsid w:val="00A84A8E"/>
    <w:rsid w:val="00A85A37"/>
    <w:rsid w:val="00AA2285"/>
    <w:rsid w:val="00AA5957"/>
    <w:rsid w:val="00AA71C7"/>
    <w:rsid w:val="00AB03CC"/>
    <w:rsid w:val="00AB2AF6"/>
    <w:rsid w:val="00AB3C73"/>
    <w:rsid w:val="00AB498A"/>
    <w:rsid w:val="00AB798E"/>
    <w:rsid w:val="00AC3842"/>
    <w:rsid w:val="00AC3E47"/>
    <w:rsid w:val="00AC4A67"/>
    <w:rsid w:val="00AC520D"/>
    <w:rsid w:val="00AC5573"/>
    <w:rsid w:val="00AC5D8B"/>
    <w:rsid w:val="00AC6AB6"/>
    <w:rsid w:val="00AC6C30"/>
    <w:rsid w:val="00AD4148"/>
    <w:rsid w:val="00AD501F"/>
    <w:rsid w:val="00AE1961"/>
    <w:rsid w:val="00AE4828"/>
    <w:rsid w:val="00AE6BA9"/>
    <w:rsid w:val="00AE7AED"/>
    <w:rsid w:val="00B03FB7"/>
    <w:rsid w:val="00B044D7"/>
    <w:rsid w:val="00B100C4"/>
    <w:rsid w:val="00B166BF"/>
    <w:rsid w:val="00B20465"/>
    <w:rsid w:val="00B22E3E"/>
    <w:rsid w:val="00B256F9"/>
    <w:rsid w:val="00B25790"/>
    <w:rsid w:val="00B27214"/>
    <w:rsid w:val="00B31C39"/>
    <w:rsid w:val="00B33077"/>
    <w:rsid w:val="00B34991"/>
    <w:rsid w:val="00B368E3"/>
    <w:rsid w:val="00B40371"/>
    <w:rsid w:val="00B5044D"/>
    <w:rsid w:val="00B527F2"/>
    <w:rsid w:val="00B5644A"/>
    <w:rsid w:val="00B5779A"/>
    <w:rsid w:val="00B63837"/>
    <w:rsid w:val="00B63C69"/>
    <w:rsid w:val="00B65763"/>
    <w:rsid w:val="00B66EE9"/>
    <w:rsid w:val="00B70677"/>
    <w:rsid w:val="00B757C3"/>
    <w:rsid w:val="00B75A8D"/>
    <w:rsid w:val="00B75FCA"/>
    <w:rsid w:val="00B90450"/>
    <w:rsid w:val="00B945C1"/>
    <w:rsid w:val="00B97C70"/>
    <w:rsid w:val="00BA060F"/>
    <w:rsid w:val="00BA6F70"/>
    <w:rsid w:val="00BB106E"/>
    <w:rsid w:val="00BB2462"/>
    <w:rsid w:val="00BB28EA"/>
    <w:rsid w:val="00BC2AD6"/>
    <w:rsid w:val="00BC2B1C"/>
    <w:rsid w:val="00BC41D6"/>
    <w:rsid w:val="00BC56FE"/>
    <w:rsid w:val="00BC5937"/>
    <w:rsid w:val="00BD097A"/>
    <w:rsid w:val="00BD12F5"/>
    <w:rsid w:val="00BD2ACF"/>
    <w:rsid w:val="00BD5939"/>
    <w:rsid w:val="00BD5F54"/>
    <w:rsid w:val="00BD660F"/>
    <w:rsid w:val="00BD66F7"/>
    <w:rsid w:val="00BE0964"/>
    <w:rsid w:val="00BF0211"/>
    <w:rsid w:val="00BF0EFC"/>
    <w:rsid w:val="00BF40D1"/>
    <w:rsid w:val="00BF679D"/>
    <w:rsid w:val="00C00BAF"/>
    <w:rsid w:val="00C01497"/>
    <w:rsid w:val="00C03ACE"/>
    <w:rsid w:val="00C0495D"/>
    <w:rsid w:val="00C04FC3"/>
    <w:rsid w:val="00C058AC"/>
    <w:rsid w:val="00C074B4"/>
    <w:rsid w:val="00C10FB9"/>
    <w:rsid w:val="00C12574"/>
    <w:rsid w:val="00C17D59"/>
    <w:rsid w:val="00C22865"/>
    <w:rsid w:val="00C2322A"/>
    <w:rsid w:val="00C25084"/>
    <w:rsid w:val="00C26439"/>
    <w:rsid w:val="00C30542"/>
    <w:rsid w:val="00C31EC4"/>
    <w:rsid w:val="00C33E8A"/>
    <w:rsid w:val="00C407B6"/>
    <w:rsid w:val="00C414E5"/>
    <w:rsid w:val="00C4159F"/>
    <w:rsid w:val="00C41F67"/>
    <w:rsid w:val="00C4271D"/>
    <w:rsid w:val="00C428B1"/>
    <w:rsid w:val="00C43131"/>
    <w:rsid w:val="00C44C75"/>
    <w:rsid w:val="00C4541E"/>
    <w:rsid w:val="00C4667F"/>
    <w:rsid w:val="00C477F5"/>
    <w:rsid w:val="00C5021B"/>
    <w:rsid w:val="00C56D95"/>
    <w:rsid w:val="00C600FD"/>
    <w:rsid w:val="00C607A8"/>
    <w:rsid w:val="00C70EB2"/>
    <w:rsid w:val="00C7131D"/>
    <w:rsid w:val="00C718FA"/>
    <w:rsid w:val="00C73BFD"/>
    <w:rsid w:val="00C7455B"/>
    <w:rsid w:val="00C74DAA"/>
    <w:rsid w:val="00C76B49"/>
    <w:rsid w:val="00C831E3"/>
    <w:rsid w:val="00C85A96"/>
    <w:rsid w:val="00C913F0"/>
    <w:rsid w:val="00C91B62"/>
    <w:rsid w:val="00C94219"/>
    <w:rsid w:val="00C97CD2"/>
    <w:rsid w:val="00CA02C1"/>
    <w:rsid w:val="00CA394E"/>
    <w:rsid w:val="00CA6DB2"/>
    <w:rsid w:val="00CB66CC"/>
    <w:rsid w:val="00CC0918"/>
    <w:rsid w:val="00CC6DD4"/>
    <w:rsid w:val="00CD15F3"/>
    <w:rsid w:val="00CE429F"/>
    <w:rsid w:val="00CE675B"/>
    <w:rsid w:val="00CE6CC0"/>
    <w:rsid w:val="00CF2A74"/>
    <w:rsid w:val="00CF459B"/>
    <w:rsid w:val="00CF59DE"/>
    <w:rsid w:val="00CF5CFC"/>
    <w:rsid w:val="00CF6BDA"/>
    <w:rsid w:val="00D03B47"/>
    <w:rsid w:val="00D10FB6"/>
    <w:rsid w:val="00D1470C"/>
    <w:rsid w:val="00D16CC6"/>
    <w:rsid w:val="00D211D0"/>
    <w:rsid w:val="00D22524"/>
    <w:rsid w:val="00D24087"/>
    <w:rsid w:val="00D342D8"/>
    <w:rsid w:val="00D345CA"/>
    <w:rsid w:val="00D34D27"/>
    <w:rsid w:val="00D37B9A"/>
    <w:rsid w:val="00D42CA8"/>
    <w:rsid w:val="00D4461B"/>
    <w:rsid w:val="00D4711F"/>
    <w:rsid w:val="00D4766B"/>
    <w:rsid w:val="00D500E9"/>
    <w:rsid w:val="00D51485"/>
    <w:rsid w:val="00D52768"/>
    <w:rsid w:val="00D541EB"/>
    <w:rsid w:val="00D54ECD"/>
    <w:rsid w:val="00D57FE1"/>
    <w:rsid w:val="00D65275"/>
    <w:rsid w:val="00D8046D"/>
    <w:rsid w:val="00D827CC"/>
    <w:rsid w:val="00D83E2C"/>
    <w:rsid w:val="00D8490A"/>
    <w:rsid w:val="00D870C6"/>
    <w:rsid w:val="00D932E6"/>
    <w:rsid w:val="00D9498F"/>
    <w:rsid w:val="00D977BA"/>
    <w:rsid w:val="00D97E64"/>
    <w:rsid w:val="00DA2D46"/>
    <w:rsid w:val="00DC1158"/>
    <w:rsid w:val="00DC3E44"/>
    <w:rsid w:val="00DD2095"/>
    <w:rsid w:val="00DD2CA8"/>
    <w:rsid w:val="00DD3658"/>
    <w:rsid w:val="00DD3A19"/>
    <w:rsid w:val="00DD4560"/>
    <w:rsid w:val="00DD556C"/>
    <w:rsid w:val="00DD6DD8"/>
    <w:rsid w:val="00DD6FC4"/>
    <w:rsid w:val="00DD7263"/>
    <w:rsid w:val="00DD7562"/>
    <w:rsid w:val="00DE0532"/>
    <w:rsid w:val="00DE24F9"/>
    <w:rsid w:val="00DE55E7"/>
    <w:rsid w:val="00DE6D5F"/>
    <w:rsid w:val="00DF0298"/>
    <w:rsid w:val="00E00991"/>
    <w:rsid w:val="00E00CE5"/>
    <w:rsid w:val="00E01B32"/>
    <w:rsid w:val="00E02A14"/>
    <w:rsid w:val="00E02CEE"/>
    <w:rsid w:val="00E033BC"/>
    <w:rsid w:val="00E038E8"/>
    <w:rsid w:val="00E03E59"/>
    <w:rsid w:val="00E04601"/>
    <w:rsid w:val="00E12941"/>
    <w:rsid w:val="00E14982"/>
    <w:rsid w:val="00E161C4"/>
    <w:rsid w:val="00E1759E"/>
    <w:rsid w:val="00E22A34"/>
    <w:rsid w:val="00E26B62"/>
    <w:rsid w:val="00E30971"/>
    <w:rsid w:val="00E318FB"/>
    <w:rsid w:val="00E3258C"/>
    <w:rsid w:val="00E3271A"/>
    <w:rsid w:val="00E329C9"/>
    <w:rsid w:val="00E36DB5"/>
    <w:rsid w:val="00E36F35"/>
    <w:rsid w:val="00E409B7"/>
    <w:rsid w:val="00E460A0"/>
    <w:rsid w:val="00E466BC"/>
    <w:rsid w:val="00E47DE3"/>
    <w:rsid w:val="00E53809"/>
    <w:rsid w:val="00E620A9"/>
    <w:rsid w:val="00E63448"/>
    <w:rsid w:val="00E64181"/>
    <w:rsid w:val="00E65BDF"/>
    <w:rsid w:val="00E70419"/>
    <w:rsid w:val="00E7192B"/>
    <w:rsid w:val="00E75F08"/>
    <w:rsid w:val="00E80A7E"/>
    <w:rsid w:val="00E87E6A"/>
    <w:rsid w:val="00E94C0C"/>
    <w:rsid w:val="00E962B1"/>
    <w:rsid w:val="00E97973"/>
    <w:rsid w:val="00EA2A4C"/>
    <w:rsid w:val="00EA2ADC"/>
    <w:rsid w:val="00EA3346"/>
    <w:rsid w:val="00EA4711"/>
    <w:rsid w:val="00EA718B"/>
    <w:rsid w:val="00EA7ACE"/>
    <w:rsid w:val="00EB1127"/>
    <w:rsid w:val="00EB279C"/>
    <w:rsid w:val="00EB2E3B"/>
    <w:rsid w:val="00EB4FB5"/>
    <w:rsid w:val="00EB5DC4"/>
    <w:rsid w:val="00EC143A"/>
    <w:rsid w:val="00EC27D2"/>
    <w:rsid w:val="00ED234E"/>
    <w:rsid w:val="00ED28DD"/>
    <w:rsid w:val="00ED3CEE"/>
    <w:rsid w:val="00ED407D"/>
    <w:rsid w:val="00EE0E91"/>
    <w:rsid w:val="00EE6C7B"/>
    <w:rsid w:val="00EE6F80"/>
    <w:rsid w:val="00EF01DE"/>
    <w:rsid w:val="00EF340B"/>
    <w:rsid w:val="00EF57FC"/>
    <w:rsid w:val="00F0020F"/>
    <w:rsid w:val="00F006BD"/>
    <w:rsid w:val="00F1085C"/>
    <w:rsid w:val="00F10DE2"/>
    <w:rsid w:val="00F118ED"/>
    <w:rsid w:val="00F156EE"/>
    <w:rsid w:val="00F24474"/>
    <w:rsid w:val="00F2541B"/>
    <w:rsid w:val="00F254F7"/>
    <w:rsid w:val="00F2617E"/>
    <w:rsid w:val="00F27284"/>
    <w:rsid w:val="00F333AC"/>
    <w:rsid w:val="00F34B1E"/>
    <w:rsid w:val="00F4295A"/>
    <w:rsid w:val="00F754FA"/>
    <w:rsid w:val="00F82B6D"/>
    <w:rsid w:val="00F83185"/>
    <w:rsid w:val="00F8475F"/>
    <w:rsid w:val="00F8682F"/>
    <w:rsid w:val="00F92EC6"/>
    <w:rsid w:val="00F94BBE"/>
    <w:rsid w:val="00F95CA1"/>
    <w:rsid w:val="00F966E9"/>
    <w:rsid w:val="00F9788B"/>
    <w:rsid w:val="00F97FF9"/>
    <w:rsid w:val="00FA086C"/>
    <w:rsid w:val="00FA2609"/>
    <w:rsid w:val="00FA275F"/>
    <w:rsid w:val="00FA2C95"/>
    <w:rsid w:val="00FA4393"/>
    <w:rsid w:val="00FB00A8"/>
    <w:rsid w:val="00FB014F"/>
    <w:rsid w:val="00FB0D01"/>
    <w:rsid w:val="00FB3AE1"/>
    <w:rsid w:val="00FB4E4A"/>
    <w:rsid w:val="00FB6689"/>
    <w:rsid w:val="00FC6B67"/>
    <w:rsid w:val="00FD0AFB"/>
    <w:rsid w:val="00FD0C52"/>
    <w:rsid w:val="00FD0EAB"/>
    <w:rsid w:val="00FD1447"/>
    <w:rsid w:val="00FD1616"/>
    <w:rsid w:val="00FD51FA"/>
    <w:rsid w:val="00FD7AC2"/>
    <w:rsid w:val="00FE1A7D"/>
    <w:rsid w:val="00FE3D99"/>
    <w:rsid w:val="00FE7DC0"/>
    <w:rsid w:val="00FF08A3"/>
    <w:rsid w:val="00FF2BA9"/>
    <w:rsid w:val="00FF5E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39261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C73"/>
    <w:pPr>
      <w:spacing w:before="120" w:after="120"/>
    </w:pPr>
    <w:rPr>
      <w:noProof/>
      <w:sz w:val="22"/>
    </w:rPr>
  </w:style>
  <w:style w:type="paragraph" w:styleId="Heading1">
    <w:name w:val="heading 1"/>
    <w:aliases w:val="H1,h1,clause,section head,Headline 1"/>
    <w:basedOn w:val="Normal"/>
    <w:next w:val="Normal"/>
    <w:qFormat/>
    <w:pPr>
      <w:numPr>
        <w:numId w:val="8"/>
      </w:numPr>
      <w:jc w:val="both"/>
      <w:outlineLvl w:val="0"/>
    </w:pPr>
    <w:rPr>
      <w:rFonts w:ascii="Arial" w:hAnsi="Arial"/>
      <w:b/>
      <w:kern w:val="36"/>
      <w:sz w:val="28"/>
    </w:rPr>
  </w:style>
  <w:style w:type="paragraph" w:styleId="Heading2">
    <w:name w:val="heading 2"/>
    <w:aliases w:val="H2,h2,sub-clause 2,level 2,Subhead A,subhead,RFQ1,Headline 2,headi,heading2,h21,h22,21,2"/>
    <w:basedOn w:val="Normal"/>
    <w:next w:val="Normal"/>
    <w:qFormat/>
    <w:pPr>
      <w:keepNext/>
      <w:numPr>
        <w:ilvl w:val="1"/>
        <w:numId w:val="8"/>
      </w:numPr>
      <w:tabs>
        <w:tab w:val="left" w:pos="720"/>
      </w:tabs>
      <w:spacing w:after="60"/>
      <w:jc w:val="both"/>
      <w:outlineLvl w:val="1"/>
    </w:pPr>
    <w:rPr>
      <w:rFonts w:ascii="Arial" w:hAnsi="Arial"/>
      <w:b/>
      <w:sz w:val="24"/>
    </w:rPr>
  </w:style>
  <w:style w:type="paragraph" w:styleId="Heading3">
    <w:name w:val="heading 3"/>
    <w:aliases w:val="H3,h3,sub-clause 3,hd3,hd3 + Block,Vor:  12 pt,Nach:  6 pt,Zeile......,level 3,Subhead B,para head,3"/>
    <w:basedOn w:val="Normal"/>
    <w:next w:val="Normal"/>
    <w:qFormat/>
    <w:rsid w:val="00357EC9"/>
    <w:pPr>
      <w:keepNext/>
      <w:numPr>
        <w:ilvl w:val="2"/>
        <w:numId w:val="8"/>
      </w:numPr>
      <w:tabs>
        <w:tab w:val="left" w:pos="1080"/>
      </w:tabs>
      <w:spacing w:after="60"/>
      <w:jc w:val="both"/>
      <w:outlineLvl w:val="2"/>
    </w:pPr>
    <w:rPr>
      <w:rFonts w:ascii="Arial" w:hAnsi="Arial"/>
      <w:b/>
      <w:i/>
      <w:sz w:val="24"/>
    </w:rPr>
  </w:style>
  <w:style w:type="paragraph" w:styleId="Heading4">
    <w:name w:val="heading 4"/>
    <w:aliases w:val="H4,h4,sub-clause 4,hd4,Subhead C,T4"/>
    <w:basedOn w:val="Normal"/>
    <w:next w:val="Normal"/>
    <w:qFormat/>
    <w:rsid w:val="00E1759E"/>
    <w:pPr>
      <w:numPr>
        <w:ilvl w:val="3"/>
        <w:numId w:val="8"/>
      </w:numPr>
      <w:spacing w:before="60" w:after="60"/>
      <w:jc w:val="both"/>
      <w:outlineLvl w:val="3"/>
    </w:pPr>
    <w:rPr>
      <w:rFonts w:ascii="Arial" w:hAnsi="Arial"/>
      <w:i/>
      <w:szCs w:val="22"/>
    </w:rPr>
  </w:style>
  <w:style w:type="paragraph" w:styleId="Heading5">
    <w:name w:val="heading 5"/>
    <w:aliases w:val="H5,h5,sub-clause 5"/>
    <w:basedOn w:val="Normal"/>
    <w:next w:val="Normal"/>
    <w:qFormat/>
    <w:pPr>
      <w:numPr>
        <w:ilvl w:val="4"/>
        <w:numId w:val="8"/>
      </w:numPr>
      <w:spacing w:before="240" w:after="60"/>
      <w:jc w:val="both"/>
      <w:outlineLvl w:val="4"/>
    </w:pPr>
    <w:rPr>
      <w:rFonts w:ascii="Arial" w:hAnsi="Arial"/>
      <w:b/>
      <w:i/>
    </w:rPr>
  </w:style>
  <w:style w:type="paragraph" w:styleId="Heading6">
    <w:name w:val="heading 6"/>
    <w:aliases w:val="H6,LEVEL 6,sub-dash,sd,5,h6,sub-clause 6"/>
    <w:basedOn w:val="Normal"/>
    <w:next w:val="Normal"/>
    <w:qFormat/>
    <w:pPr>
      <w:numPr>
        <w:ilvl w:val="5"/>
        <w:numId w:val="8"/>
      </w:numPr>
      <w:spacing w:before="240" w:after="60"/>
      <w:jc w:val="both"/>
      <w:outlineLvl w:val="5"/>
    </w:pPr>
    <w:rPr>
      <w:rFonts w:ascii="Arial" w:hAnsi="Arial"/>
      <w:i/>
    </w:rPr>
  </w:style>
  <w:style w:type="paragraph" w:styleId="Heading7">
    <w:name w:val="heading 7"/>
    <w:aliases w:val="LEVEL 7"/>
    <w:basedOn w:val="Normal"/>
    <w:next w:val="Normal"/>
    <w:qFormat/>
    <w:pPr>
      <w:numPr>
        <w:ilvl w:val="6"/>
        <w:numId w:val="8"/>
      </w:numPr>
      <w:spacing w:before="240" w:after="60"/>
      <w:jc w:val="both"/>
      <w:outlineLvl w:val="6"/>
    </w:pPr>
    <w:rPr>
      <w:rFonts w:ascii="Arial" w:hAnsi="Arial"/>
      <w:sz w:val="24"/>
    </w:rPr>
  </w:style>
  <w:style w:type="paragraph" w:styleId="Heading8">
    <w:name w:val="heading 8"/>
    <w:aliases w:val="(table no.)"/>
    <w:basedOn w:val="Normal"/>
    <w:next w:val="Normal"/>
    <w:qFormat/>
    <w:pPr>
      <w:numPr>
        <w:ilvl w:val="7"/>
        <w:numId w:val="8"/>
      </w:numPr>
      <w:spacing w:before="240" w:after="60"/>
      <w:jc w:val="both"/>
      <w:outlineLvl w:val="7"/>
    </w:pPr>
    <w:rPr>
      <w:rFonts w:ascii="Arial" w:hAnsi="Arial"/>
      <w:i/>
      <w:sz w:val="24"/>
    </w:rPr>
  </w:style>
  <w:style w:type="paragraph" w:styleId="Heading9">
    <w:name w:val="heading 9"/>
    <w:basedOn w:val="Normal"/>
    <w:next w:val="Normal"/>
    <w:qFormat/>
    <w:pPr>
      <w:numPr>
        <w:ilvl w:val="8"/>
        <w:numId w:val="8"/>
      </w:numPr>
      <w:spacing w:before="240" w:after="60"/>
      <w:jc w:val="both"/>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spacing w:before="40" w:after="40"/>
    </w:pPr>
    <w:rPr>
      <w:rFonts w:ascii="Arial" w:hAnsi="Arial"/>
      <w:b/>
      <w:sz w:val="24"/>
    </w:rPr>
  </w:style>
  <w:style w:type="paragraph" w:styleId="TOC2">
    <w:name w:val="toc 2"/>
    <w:basedOn w:val="Normal"/>
    <w:next w:val="Normal"/>
    <w:semiHidden/>
    <w:pPr>
      <w:spacing w:before="0" w:after="0"/>
      <w:ind w:left="202"/>
    </w:pPr>
    <w:rPr>
      <w:b/>
    </w:rPr>
  </w:style>
  <w:style w:type="paragraph" w:styleId="TOC3">
    <w:name w:val="toc 3"/>
    <w:basedOn w:val="Normal"/>
    <w:next w:val="Normal"/>
    <w:semiHidden/>
    <w:pPr>
      <w:spacing w:after="0"/>
      <w:ind w:left="400"/>
    </w:pPr>
    <w:rPr>
      <w:i/>
    </w:rPr>
  </w:style>
  <w:style w:type="paragraph" w:customStyle="1" w:styleId="Reference">
    <w:name w:val="Reference"/>
    <w:basedOn w:val="Normal"/>
    <w:pPr>
      <w:tabs>
        <w:tab w:val="left" w:pos="720"/>
      </w:tabs>
      <w:spacing w:before="40" w:after="40"/>
      <w:ind w:left="720" w:hanging="720"/>
      <w:jc w:val="both"/>
    </w:pPr>
  </w:style>
  <w:style w:type="paragraph" w:customStyle="1" w:styleId="TechRequirementHeading">
    <w:name w:val="TechRequirement Heading"/>
    <w:basedOn w:val="RequirementHeading"/>
    <w:pPr>
      <w:spacing w:before="120"/>
      <w:ind w:left="0" w:firstLine="0"/>
      <w:jc w:val="left"/>
    </w:pPr>
    <w:rPr>
      <w:sz w:val="24"/>
    </w:rPr>
  </w:style>
  <w:style w:type="paragraph" w:customStyle="1" w:styleId="RequirementHeading">
    <w:name w:val="Requirement Heading"/>
    <w:basedOn w:val="Normal"/>
    <w:pPr>
      <w:spacing w:before="40" w:after="40"/>
      <w:ind w:left="1080" w:hanging="630"/>
      <w:jc w:val="both"/>
    </w:pPr>
    <w:rPr>
      <w:b/>
      <w:sz w:val="18"/>
    </w:rPr>
  </w:style>
  <w:style w:type="character" w:styleId="PageNumber">
    <w:name w:val="page number"/>
    <w:basedOn w:val="DefaultParagraphFont"/>
  </w:style>
  <w:style w:type="paragraph" w:styleId="BodyText2">
    <w:name w:val="Body Text 2"/>
    <w:basedOn w:val="Normal"/>
    <w:pPr>
      <w:spacing w:before="40" w:after="40"/>
      <w:ind w:firstLine="360"/>
    </w:pPr>
    <w:rPr>
      <w:sz w:val="24"/>
    </w:rPr>
  </w:style>
  <w:style w:type="paragraph" w:customStyle="1" w:styleId="Blockquote">
    <w:name w:val="Blockquote"/>
    <w:basedOn w:val="Normal"/>
    <w:pPr>
      <w:spacing w:before="40" w:after="40"/>
      <w:ind w:left="1080" w:right="360" w:hanging="360"/>
    </w:pPr>
    <w:rPr>
      <w:sz w:val="18"/>
    </w:rPr>
  </w:style>
  <w:style w:type="paragraph" w:customStyle="1" w:styleId="TableHeading">
    <w:name w:val="TableHeading"/>
    <w:basedOn w:val="Normal"/>
    <w:pPr>
      <w:spacing w:before="40" w:after="40"/>
      <w:ind w:left="360" w:hanging="360"/>
    </w:pPr>
    <w:rPr>
      <w:b/>
      <w:sz w:val="18"/>
    </w:rPr>
  </w:style>
  <w:style w:type="paragraph" w:customStyle="1" w:styleId="TableEntry">
    <w:name w:val="TableEntry"/>
    <w:basedOn w:val="Normal"/>
    <w:pPr>
      <w:spacing w:before="40" w:after="40"/>
      <w:ind w:left="360" w:hanging="360"/>
    </w:pPr>
    <w:rPr>
      <w:sz w:val="18"/>
    </w:rPr>
  </w:style>
  <w:style w:type="paragraph" w:styleId="Header">
    <w:name w:val="header"/>
    <w:basedOn w:val="Normal"/>
    <w:pPr>
      <w:tabs>
        <w:tab w:val="center" w:pos="4320"/>
        <w:tab w:val="right" w:pos="8640"/>
      </w:tabs>
      <w:spacing w:before="40" w:after="40"/>
      <w:ind w:left="1080" w:hanging="360"/>
      <w:jc w:val="both"/>
    </w:pPr>
    <w:rPr>
      <w:sz w:val="18"/>
    </w:rPr>
  </w:style>
  <w:style w:type="paragraph" w:styleId="Footer">
    <w:name w:val="footer"/>
    <w:basedOn w:val="Normal"/>
    <w:pPr>
      <w:tabs>
        <w:tab w:val="center" w:pos="4320"/>
        <w:tab w:val="right" w:pos="8640"/>
      </w:tabs>
      <w:spacing w:before="40" w:after="40"/>
      <w:ind w:left="1080" w:hanging="360"/>
      <w:jc w:val="both"/>
    </w:pPr>
    <w:rPr>
      <w:rFonts w:ascii="Arial" w:hAnsi="Arial"/>
      <w:sz w:val="18"/>
    </w:rPr>
  </w:style>
  <w:style w:type="paragraph" w:styleId="BodyText">
    <w:name w:val="Body Text"/>
    <w:basedOn w:val="Normal"/>
    <w:pPr>
      <w:widowControl w:val="0"/>
      <w:spacing w:before="40" w:after="160"/>
    </w:pPr>
    <w:rPr>
      <w:rFonts w:eastAsia="MS Mincho"/>
    </w:rPr>
  </w:style>
  <w:style w:type="paragraph" w:customStyle="1" w:styleId="List1">
    <w:name w:val="List 1"/>
    <w:basedOn w:val="Normal"/>
    <w:pPr>
      <w:spacing w:after="40"/>
      <w:ind w:left="720" w:right="4320" w:hanging="720"/>
    </w:pPr>
    <w:rPr>
      <w:rFonts w:ascii="Times" w:hAnsi="Times"/>
      <w:sz w:val="24"/>
    </w:rPr>
  </w:style>
  <w:style w:type="paragraph" w:styleId="TOC4">
    <w:name w:val="toc 4"/>
    <w:basedOn w:val="Normal"/>
    <w:next w:val="Normal"/>
    <w:semiHidden/>
    <w:pPr>
      <w:spacing w:after="0"/>
      <w:ind w:left="600"/>
    </w:pPr>
    <w:rPr>
      <w:sz w:val="18"/>
    </w:rPr>
  </w:style>
  <w:style w:type="paragraph" w:styleId="ListNumber">
    <w:name w:val="List Number"/>
    <w:basedOn w:val="Normal"/>
    <w:pPr>
      <w:numPr>
        <w:numId w:val="10"/>
      </w:numPr>
      <w:tabs>
        <w:tab w:val="left" w:pos="360"/>
      </w:tabs>
      <w:spacing w:before="40" w:after="40"/>
    </w:pPr>
  </w:style>
  <w:style w:type="paragraph" w:styleId="ListBullet">
    <w:name w:val="List Bullet"/>
    <w:aliases w:val="UL"/>
    <w:basedOn w:val="Normal"/>
    <w:pPr>
      <w:numPr>
        <w:numId w:val="1"/>
      </w:numPr>
      <w:spacing w:before="40" w:after="40"/>
    </w:pPr>
  </w:style>
  <w:style w:type="paragraph" w:styleId="ListBullet2">
    <w:name w:val="List Bullet 2"/>
    <w:basedOn w:val="Normal"/>
    <w:pPr>
      <w:numPr>
        <w:numId w:val="9"/>
      </w:numPr>
      <w:spacing w:before="40" w:after="40"/>
    </w:pPr>
  </w:style>
  <w:style w:type="paragraph" w:styleId="NormalIndent">
    <w:name w:val="Normal Indent"/>
    <w:basedOn w:val="Normal"/>
    <w:pPr>
      <w:spacing w:before="40" w:after="40"/>
      <w:ind w:left="720" w:firstLine="360"/>
    </w:pPr>
  </w:style>
  <w:style w:type="paragraph" w:customStyle="1" w:styleId="Note">
    <w:name w:val="Note"/>
    <w:basedOn w:val="Normal"/>
    <w:pPr>
      <w:pBdr>
        <w:top w:val="single" w:sz="6" w:space="1" w:color="auto"/>
        <w:left w:val="single" w:sz="6" w:space="4" w:color="auto"/>
        <w:bottom w:val="single" w:sz="6" w:space="1" w:color="auto"/>
        <w:right w:val="single" w:sz="6" w:space="4" w:color="auto"/>
      </w:pBdr>
      <w:spacing w:before="40" w:after="40"/>
    </w:pPr>
  </w:style>
  <w:style w:type="paragraph" w:styleId="Caption">
    <w:name w:val="caption"/>
    <w:aliases w:val="Caption Char,Caption Char1 Char,Caption Char Char Char,Caption Char Char1 Char Char,Caption ..."/>
    <w:basedOn w:val="Normal"/>
    <w:next w:val="Normal"/>
    <w:uiPriority w:val="99"/>
    <w:qFormat/>
    <w:pPr>
      <w:spacing w:after="240"/>
      <w:jc w:val="center"/>
    </w:pPr>
    <w:rPr>
      <w:rFonts w:ascii="Arial" w:hAnsi="Arial"/>
      <w:b/>
    </w:rPr>
  </w:style>
  <w:style w:type="paragraph" w:styleId="TOC5">
    <w:name w:val="toc 5"/>
    <w:basedOn w:val="Normal"/>
    <w:next w:val="Normal"/>
    <w:semiHidden/>
    <w:pPr>
      <w:spacing w:after="0"/>
      <w:ind w:left="800"/>
    </w:pPr>
    <w:rPr>
      <w:sz w:val="18"/>
    </w:rPr>
  </w:style>
  <w:style w:type="paragraph" w:styleId="TOC6">
    <w:name w:val="toc 6"/>
    <w:basedOn w:val="Normal"/>
    <w:next w:val="Normal"/>
    <w:semiHidden/>
    <w:pPr>
      <w:spacing w:after="0"/>
      <w:ind w:left="1000"/>
    </w:pPr>
    <w:rPr>
      <w:sz w:val="18"/>
    </w:rPr>
  </w:style>
  <w:style w:type="paragraph" w:styleId="TOC7">
    <w:name w:val="toc 7"/>
    <w:basedOn w:val="Normal"/>
    <w:next w:val="Normal"/>
    <w:semiHidden/>
    <w:pPr>
      <w:spacing w:after="0"/>
      <w:ind w:left="1200"/>
    </w:pPr>
    <w:rPr>
      <w:sz w:val="18"/>
    </w:rPr>
  </w:style>
  <w:style w:type="paragraph" w:styleId="TOC8">
    <w:name w:val="toc 8"/>
    <w:basedOn w:val="Normal"/>
    <w:next w:val="Normal"/>
    <w:semiHidden/>
    <w:pPr>
      <w:spacing w:after="0"/>
      <w:ind w:left="1400"/>
    </w:pPr>
    <w:rPr>
      <w:sz w:val="18"/>
    </w:rPr>
  </w:style>
  <w:style w:type="paragraph" w:styleId="TOC9">
    <w:name w:val="toc 9"/>
    <w:basedOn w:val="Normal"/>
    <w:next w:val="Normal"/>
    <w:semiHidden/>
    <w:pPr>
      <w:spacing w:after="0"/>
      <w:ind w:left="1600"/>
    </w:pPr>
    <w:rPr>
      <w:sz w:val="18"/>
    </w:rPr>
  </w:style>
  <w:style w:type="character" w:styleId="Hyperlink">
    <w:name w:val="Hyperlink"/>
    <w:uiPriority w:val="99"/>
    <w:rPr>
      <w:color w:val="0000FF"/>
      <w:u w:val="single"/>
    </w:rPr>
  </w:style>
  <w:style w:type="paragraph" w:styleId="BodyTextIndent">
    <w:name w:val="Body Text Indent"/>
    <w:basedOn w:val="Normal"/>
    <w:pPr>
      <w:spacing w:after="0"/>
      <w:ind w:left="720"/>
      <w:jc w:val="both"/>
    </w:pPr>
    <w:rPr>
      <w:sz w:val="24"/>
    </w:rPr>
  </w:style>
  <w:style w:type="paragraph" w:customStyle="1" w:styleId="AnnexHeader">
    <w:name w:val="AnnexHeader"/>
    <w:basedOn w:val="Normal"/>
    <w:next w:val="Normal"/>
    <w:pPr>
      <w:pageBreakBefore/>
      <w:widowControl w:val="0"/>
      <w:spacing w:after="240"/>
      <w:outlineLvl w:val="0"/>
    </w:pPr>
    <w:rPr>
      <w:rFonts w:ascii="Arial" w:hAnsi="Arial"/>
      <w:b/>
      <w:sz w:val="32"/>
    </w:rPr>
  </w:style>
  <w:style w:type="paragraph" w:styleId="BodyText3">
    <w:name w:val="Body Text 3"/>
    <w:basedOn w:val="Normal"/>
    <w:pPr>
      <w:spacing w:after="0"/>
      <w:jc w:val="both"/>
    </w:pPr>
  </w:style>
  <w:style w:type="paragraph" w:styleId="Subtitle">
    <w:name w:val="Subtitle"/>
    <w:basedOn w:val="Normal"/>
    <w:qFormat/>
    <w:pPr>
      <w:spacing w:after="60"/>
      <w:jc w:val="center"/>
      <w:outlineLvl w:val="1"/>
    </w:pPr>
    <w:rPr>
      <w:rFonts w:ascii="Arial" w:hAnsi="Arial"/>
      <w:sz w:val="24"/>
    </w:rPr>
  </w:style>
  <w:style w:type="paragraph" w:styleId="Title">
    <w:name w:val="Title"/>
    <w:basedOn w:val="Normal"/>
    <w:qFormat/>
    <w:pPr>
      <w:spacing w:before="240" w:after="60"/>
      <w:jc w:val="center"/>
      <w:outlineLvl w:val="0"/>
    </w:pPr>
    <w:rPr>
      <w:rFonts w:ascii="Arial" w:hAnsi="Arial"/>
      <w:b/>
      <w:kern w:val="28"/>
      <w:sz w:val="32"/>
    </w:rPr>
  </w:style>
  <w:style w:type="paragraph" w:styleId="ListBullet4">
    <w:name w:val="List Bullet 4"/>
    <w:basedOn w:val="ListBullet"/>
    <w:autoRedefine/>
    <w:pPr>
      <w:keepNext/>
      <w:numPr>
        <w:ilvl w:val="1"/>
        <w:numId w:val="3"/>
      </w:numPr>
      <w:suppressLineNumbers/>
      <w:tabs>
        <w:tab w:val="clear" w:pos="1440"/>
        <w:tab w:val="left" w:pos="1800"/>
      </w:tabs>
      <w:spacing w:before="0" w:after="120"/>
      <w:ind w:left="1800"/>
    </w:pPr>
    <w:rPr>
      <w:snapToGrid w:val="0"/>
    </w:rPr>
  </w:style>
  <w:style w:type="paragraph" w:styleId="ListBullet3">
    <w:name w:val="List Bullet 3"/>
    <w:basedOn w:val="ListBullet"/>
    <w:autoRedefine/>
    <w:pPr>
      <w:numPr>
        <w:ilvl w:val="1"/>
        <w:numId w:val="4"/>
      </w:numPr>
      <w:suppressLineNumbers/>
      <w:tabs>
        <w:tab w:val="clear" w:pos="1098"/>
        <w:tab w:val="left" w:pos="1440"/>
      </w:tabs>
      <w:spacing w:before="0" w:after="120"/>
      <w:ind w:left="1440"/>
    </w:pPr>
    <w:rPr>
      <w:snapToGrid w:val="0"/>
    </w:rPr>
  </w:style>
  <w:style w:type="paragraph" w:styleId="ListBullet5">
    <w:name w:val="List Bullet 5"/>
    <w:basedOn w:val="ListBullet"/>
    <w:autoRedefine/>
    <w:pPr>
      <w:keepNext/>
      <w:numPr>
        <w:numId w:val="6"/>
      </w:numPr>
      <w:suppressLineNumbers/>
      <w:tabs>
        <w:tab w:val="clear" w:pos="360"/>
      </w:tabs>
      <w:spacing w:before="0" w:after="120"/>
      <w:ind w:left="2520"/>
    </w:pPr>
    <w:rPr>
      <w:b/>
      <w:snapToGrid w:val="0"/>
      <w:sz w:val="18"/>
    </w:rPr>
  </w:style>
  <w:style w:type="paragraph" w:customStyle="1" w:styleId="Appendix1">
    <w:name w:val="Appendix 1"/>
    <w:basedOn w:val="Normal"/>
    <w:next w:val="BodyText"/>
    <w:pPr>
      <w:tabs>
        <w:tab w:val="left" w:pos="360"/>
      </w:tabs>
      <w:outlineLvl w:val="0"/>
    </w:pPr>
    <w:rPr>
      <w:rFonts w:ascii="Arial" w:hAnsi="Arial"/>
      <w:b/>
      <w:kern w:val="36"/>
      <w:sz w:val="28"/>
    </w:rPr>
  </w:style>
  <w:style w:type="paragraph" w:customStyle="1" w:styleId="Appendix2">
    <w:name w:val="Appendix 2"/>
    <w:basedOn w:val="Normal"/>
    <w:next w:val="BodyText"/>
    <w:pPr>
      <w:numPr>
        <w:ilvl w:val="1"/>
        <w:numId w:val="11"/>
      </w:numPr>
      <w:tabs>
        <w:tab w:val="left" w:pos="792"/>
      </w:tabs>
      <w:spacing w:after="60"/>
      <w:outlineLvl w:val="1"/>
    </w:pPr>
    <w:rPr>
      <w:rFonts w:ascii="Arial" w:hAnsi="Arial"/>
      <w:b/>
      <w:sz w:val="24"/>
    </w:rPr>
  </w:style>
  <w:style w:type="paragraph" w:customStyle="1" w:styleId="Appendix3">
    <w:name w:val="Appendix 3"/>
    <w:basedOn w:val="Normal"/>
    <w:next w:val="BodyText"/>
    <w:pPr>
      <w:numPr>
        <w:ilvl w:val="2"/>
        <w:numId w:val="11"/>
      </w:numPr>
      <w:tabs>
        <w:tab w:val="left" w:pos="792"/>
      </w:tabs>
      <w:spacing w:before="60" w:after="60"/>
      <w:outlineLvl w:val="2"/>
    </w:pPr>
    <w:rPr>
      <w:rFonts w:ascii="Arial" w:hAnsi="Arial"/>
      <w:b/>
      <w:i/>
      <w:sz w:val="24"/>
    </w:rPr>
  </w:style>
  <w:style w:type="paragraph" w:customStyle="1" w:styleId="Appendix4">
    <w:name w:val="Appendix 4"/>
    <w:basedOn w:val="Normal"/>
    <w:next w:val="BodyText"/>
    <w:pPr>
      <w:numPr>
        <w:ilvl w:val="3"/>
        <w:numId w:val="11"/>
      </w:numPr>
      <w:spacing w:before="60" w:after="60"/>
      <w:outlineLvl w:val="3"/>
    </w:pPr>
    <w:rPr>
      <w:rFonts w:ascii="Arial" w:hAnsi="Arial"/>
      <w:sz w:val="24"/>
    </w:rPr>
  </w:style>
  <w:style w:type="paragraph" w:customStyle="1" w:styleId="Appendix5">
    <w:name w:val="Appendix 5"/>
    <w:basedOn w:val="Normal"/>
    <w:next w:val="BodyText"/>
    <w:pPr>
      <w:numPr>
        <w:ilvl w:val="4"/>
        <w:numId w:val="11"/>
      </w:numPr>
      <w:spacing w:before="60" w:after="60"/>
      <w:outlineLvl w:val="4"/>
    </w:pPr>
    <w:rPr>
      <w:rFonts w:ascii="Arial Black" w:hAnsi="Arial Black"/>
      <w:sz w:val="18"/>
    </w:rPr>
  </w:style>
  <w:style w:type="paragraph" w:customStyle="1" w:styleId="Appendix6">
    <w:name w:val="Appendix 6"/>
    <w:basedOn w:val="Normal"/>
    <w:next w:val="BodyText"/>
    <w:pPr>
      <w:numPr>
        <w:ilvl w:val="5"/>
        <w:numId w:val="11"/>
      </w:numPr>
      <w:spacing w:before="60" w:after="40"/>
      <w:outlineLvl w:val="5"/>
    </w:pPr>
    <w:rPr>
      <w:rFonts w:ascii="Arial" w:hAnsi="Arial"/>
      <w:b/>
      <w:i/>
      <w:sz w:val="18"/>
    </w:rPr>
  </w:style>
  <w:style w:type="paragraph" w:customStyle="1" w:styleId="Task">
    <w:name w:val="Task"/>
    <w:basedOn w:val="Heading5"/>
    <w:pPr>
      <w:numPr>
        <w:ilvl w:val="0"/>
        <w:numId w:val="7"/>
      </w:numPr>
      <w:tabs>
        <w:tab w:val="clear" w:pos="720"/>
      </w:tabs>
      <w:spacing w:before="60" w:after="40"/>
      <w:ind w:left="1800"/>
      <w:jc w:val="left"/>
    </w:pPr>
    <w:rPr>
      <w:rFonts w:ascii="Arial Black" w:hAnsi="Arial Black"/>
      <w:b w:val="0"/>
      <w:sz w:val="18"/>
    </w:rPr>
  </w:style>
  <w:style w:type="character" w:styleId="FootnoteReference">
    <w:name w:val="footnote reference"/>
    <w:uiPriority w:val="99"/>
    <w:rPr>
      <w:vertAlign w:val="superscript"/>
    </w:rPr>
  </w:style>
  <w:style w:type="paragraph" w:styleId="FootnoteText">
    <w:name w:val="footnote text"/>
    <w:aliases w:val="Footnote Text Char1,Footnote Text Char Char,Footnote Text Char1...,Footnote Text Char2,Footnote Text Char1 Char Char,Footnote Text Char Char Char Char,Footnote Text Char1 Char Char Char Char,Footnote Text Char Char Char Char Char Char"/>
    <w:basedOn w:val="Normal"/>
    <w:uiPriority w:val="99"/>
    <w:pPr>
      <w:spacing w:before="80" w:after="80"/>
    </w:pPr>
    <w:rPr>
      <w:sz w:val="16"/>
    </w:rPr>
  </w:style>
  <w:style w:type="paragraph" w:styleId="NormalWeb">
    <w:name w:val="Normal (Web)"/>
    <w:basedOn w:val="Normal"/>
    <w:pPr>
      <w:spacing w:before="100" w:beforeAutospacing="1" w:after="100" w:afterAutospacing="1"/>
    </w:pPr>
    <w:rPr>
      <w:color w:val="000000"/>
      <w:sz w:val="24"/>
    </w:rPr>
  </w:style>
  <w:style w:type="paragraph" w:styleId="List2">
    <w:name w:val="List 2"/>
    <w:basedOn w:val="Normal"/>
    <w:pPr>
      <w:spacing w:before="80" w:after="80"/>
      <w:ind w:left="720" w:hanging="360"/>
    </w:pPr>
  </w:style>
  <w:style w:type="paragraph" w:customStyle="1" w:styleId="TitleInsert">
    <w:name w:val="TitleInsert"/>
    <w:basedOn w:val="Title"/>
    <w:autoRedefine/>
    <w:pPr>
      <w:spacing w:before="80" w:after="80"/>
      <w:outlineLvl w:val="9"/>
    </w:pPr>
    <w:rPr>
      <w:rFonts w:ascii="Times New Roman" w:hAnsi="Times New Roman"/>
      <w:kern w:val="0"/>
      <w:sz w:val="24"/>
    </w:rPr>
  </w:style>
  <w:style w:type="paragraph" w:customStyle="1" w:styleId="Figure">
    <w:name w:val="Figure"/>
    <w:basedOn w:val="Normal"/>
    <w:pPr>
      <w:spacing w:before="240" w:after="0"/>
      <w:jc w:val="center"/>
    </w:pPr>
    <w:rPr>
      <w:sz w:val="18"/>
    </w:rPr>
  </w:style>
  <w:style w:type="paragraph" w:customStyle="1" w:styleId="Tasks">
    <w:name w:val="Tasks"/>
    <w:basedOn w:val="Normal"/>
    <w:pPr>
      <w:tabs>
        <w:tab w:val="left" w:pos="1440"/>
      </w:tabs>
      <w:spacing w:after="0"/>
      <w:ind w:left="1440" w:hanging="1440"/>
    </w:pPr>
    <w:rPr>
      <w:b/>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rPr>
      <w:color w:val="800080"/>
      <w:u w:val="single"/>
    </w:rPr>
  </w:style>
  <w:style w:type="character" w:styleId="Emphasis">
    <w:name w:val="Emphasis"/>
    <w:qFormat/>
    <w:rPr>
      <w:i/>
    </w:rPr>
  </w:style>
  <w:style w:type="paragraph" w:customStyle="1" w:styleId="Terms">
    <w:name w:val="Term(s)"/>
    <w:basedOn w:val="Normal"/>
    <w:next w:val="Normal"/>
    <w:pPr>
      <w:keepNext/>
      <w:suppressAutoHyphens/>
      <w:overflowPunct w:val="0"/>
      <w:autoSpaceDE w:val="0"/>
      <w:autoSpaceDN w:val="0"/>
      <w:adjustRightInd w:val="0"/>
      <w:spacing w:before="0" w:after="0"/>
      <w:textAlignment w:val="baseline"/>
    </w:pPr>
    <w:rPr>
      <w:b/>
      <w:sz w:val="24"/>
    </w:rPr>
  </w:style>
  <w:style w:type="character" w:styleId="CommentReference">
    <w:name w:val="annotation reference"/>
    <w:uiPriority w:val="99"/>
    <w:rPr>
      <w:sz w:val="16"/>
    </w:rPr>
  </w:style>
  <w:style w:type="paragraph" w:styleId="CommentText">
    <w:name w:val="annotation text"/>
    <w:basedOn w:val="Normal"/>
    <w:link w:val="CommentTextChar"/>
    <w:uiPriority w:val="99"/>
  </w:style>
  <w:style w:type="paragraph" w:styleId="TableofFigures">
    <w:name w:val="table of figures"/>
    <w:basedOn w:val="Normal"/>
    <w:next w:val="Normal"/>
    <w:uiPriority w:val="99"/>
    <w:pPr>
      <w:ind w:left="400" w:hanging="400"/>
    </w:pPr>
  </w:style>
  <w:style w:type="character" w:customStyle="1" w:styleId="title1">
    <w:name w:val="title1"/>
    <w:basedOn w:val="DefaultParagraphFont"/>
  </w:style>
  <w:style w:type="character" w:styleId="HTMLCode">
    <w:name w:val="HTML Code"/>
    <w:rPr>
      <w:rFonts w:ascii="Courier" w:eastAsia="Arial Unicode MS" w:hAnsi="Courier" w:hint="default"/>
      <w:sz w:val="22"/>
    </w:rPr>
  </w:style>
  <w:style w:type="paragraph" w:styleId="BodyTextIndent2">
    <w:name w:val="Body Text Indent 2"/>
    <w:basedOn w:val="Normal"/>
    <w:pPr>
      <w:ind w:left="720"/>
    </w:pPr>
    <w:rPr>
      <w:i/>
    </w:rPr>
  </w:style>
  <w:style w:type="paragraph" w:customStyle="1" w:styleId="Heading1NoNumberNoTOC">
    <w:name w:val="Heading1NoNumberNoTOC"/>
    <w:basedOn w:val="Normal"/>
    <w:pPr>
      <w:keepNext/>
      <w:spacing w:before="240" w:after="60"/>
      <w:jc w:val="both"/>
      <w:outlineLvl w:val="0"/>
    </w:pPr>
    <w:rPr>
      <w:rFonts w:ascii="Arial" w:hAnsi="Arial"/>
      <w:b/>
      <w:kern w:val="28"/>
      <w:sz w:val="28"/>
    </w:rPr>
  </w:style>
  <w:style w:type="paragraph" w:customStyle="1" w:styleId="noemal">
    <w:name w:val="noemal"/>
    <w:basedOn w:val="Heading4"/>
  </w:style>
  <w:style w:type="paragraph" w:styleId="ListNumber4">
    <w:name w:val="List Number 4"/>
    <w:basedOn w:val="Normal"/>
    <w:pPr>
      <w:tabs>
        <w:tab w:val="left" w:pos="1600"/>
      </w:tabs>
      <w:spacing w:before="0" w:after="240"/>
      <w:ind w:left="1600" w:hanging="400"/>
    </w:pPr>
    <w:rPr>
      <w:sz w:val="24"/>
    </w:rPr>
  </w:style>
  <w:style w:type="paragraph" w:styleId="ListContinue2">
    <w:name w:val="List Continue 2"/>
    <w:aliases w:val="list-2"/>
    <w:basedOn w:val="ListContinue"/>
    <w:pPr>
      <w:numPr>
        <w:numId w:val="5"/>
      </w:numPr>
      <w:spacing w:before="0" w:after="240"/>
      <w:ind w:left="720"/>
    </w:pPr>
    <w:rPr>
      <w:sz w:val="24"/>
    </w:rPr>
  </w:style>
  <w:style w:type="paragraph" w:styleId="ListContinue">
    <w:name w:val="List Continue"/>
    <w:basedOn w:val="Normal"/>
    <w:pPr>
      <w:ind w:left="360"/>
    </w:pPr>
  </w:style>
  <w:style w:type="paragraph" w:customStyle="1" w:styleId="Paragraph">
    <w:name w:val="Paragraph"/>
    <w:basedOn w:val="Normal"/>
    <w:pPr>
      <w:spacing w:before="40" w:after="80"/>
    </w:pPr>
    <w:rPr>
      <w:rFonts w:ascii="Tahoma" w:hAnsi="Tahoma"/>
      <w:sz w:val="24"/>
    </w:rPr>
  </w:style>
  <w:style w:type="paragraph" w:styleId="BodyTextIndent3">
    <w:name w:val="Body Text Indent 3"/>
    <w:basedOn w:val="Normal"/>
    <w:pPr>
      <w:ind w:left="720"/>
    </w:pPr>
  </w:style>
  <w:style w:type="character" w:styleId="Strong">
    <w:name w:val="Strong"/>
    <w:qFormat/>
    <w:rPr>
      <w:b/>
    </w:rPr>
  </w:style>
  <w:style w:type="paragraph" w:customStyle="1" w:styleId="Bullet">
    <w:name w:val="Bullet"/>
    <w:basedOn w:val="Normal"/>
    <w:pPr>
      <w:spacing w:before="60" w:after="0"/>
    </w:pPr>
    <w:rPr>
      <w:sz w:val="24"/>
    </w:rPr>
  </w:style>
  <w:style w:type="paragraph" w:customStyle="1" w:styleId="Default">
    <w:name w:val="Default"/>
    <w:pPr>
      <w:autoSpaceDE w:val="0"/>
      <w:autoSpaceDN w:val="0"/>
      <w:adjustRightInd w:val="0"/>
    </w:pPr>
    <w:rPr>
      <w:rFonts w:ascii="TimesNewRoman" w:hAnsi="TimesNewRoman"/>
      <w:noProof/>
    </w:rPr>
  </w:style>
  <w:style w:type="paragraph" w:customStyle="1" w:styleId="zzCover">
    <w:name w:val="zzCover"/>
    <w:basedOn w:val="Default"/>
    <w:next w:val="Default"/>
    <w:pPr>
      <w:spacing w:after="220"/>
    </w:pPr>
    <w:rPr>
      <w:rFonts w:ascii="TimesNewRoman,Bold" w:hAnsi="TimesNewRoman,Bold"/>
      <w:sz w:val="24"/>
    </w:rPr>
  </w:style>
  <w:style w:type="paragraph" w:styleId="List4">
    <w:name w:val="List 4"/>
    <w:basedOn w:val="Normal"/>
    <w:pPr>
      <w:ind w:left="1440" w:hanging="360"/>
    </w:pPr>
  </w:style>
  <w:style w:type="paragraph" w:customStyle="1" w:styleId="FlowChartNormal">
    <w:name w:val="Flow Chart Normal"/>
    <w:basedOn w:val="Normal"/>
    <w:pPr>
      <w:spacing w:before="80" w:after="80"/>
      <w:ind w:firstLine="720"/>
      <w:jc w:val="center"/>
    </w:pPr>
    <w:rPr>
      <w:sz w:val="24"/>
    </w:rPr>
  </w:style>
  <w:style w:type="paragraph" w:customStyle="1" w:styleId="Tabletext10">
    <w:name w:val="Table text (10)"/>
    <w:basedOn w:val="Normal"/>
    <w:pPr>
      <w:spacing w:before="60" w:after="60" w:line="230" w:lineRule="atLeast"/>
      <w:jc w:val="both"/>
    </w:pPr>
    <w:rPr>
      <w:rFonts w:ascii="Arial" w:eastAsia="MS Mincho" w:hAnsi="Arial"/>
    </w:rPr>
  </w:style>
  <w:style w:type="paragraph" w:customStyle="1" w:styleId="Definition">
    <w:name w:val="Definition"/>
    <w:basedOn w:val="Normal"/>
    <w:next w:val="Normal"/>
    <w:pPr>
      <w:spacing w:before="0" w:after="240"/>
    </w:pPr>
    <w:rPr>
      <w:sz w:val="24"/>
    </w:rPr>
  </w:style>
  <w:style w:type="paragraph" w:styleId="PlainText">
    <w:name w:val="Plain Text"/>
    <w:basedOn w:val="Normal"/>
    <w:pPr>
      <w:spacing w:before="0" w:after="0"/>
    </w:pPr>
    <w:rPr>
      <w:rFonts w:ascii="Courier New" w:hAnsi="Courier New"/>
    </w:rPr>
  </w:style>
  <w:style w:type="paragraph" w:customStyle="1" w:styleId="Figuretitle">
    <w:name w:val="Figure title"/>
    <w:basedOn w:val="Normal"/>
    <w:next w:val="Normal"/>
    <w:pPr>
      <w:suppressAutoHyphens/>
      <w:spacing w:before="220" w:after="220" w:line="230" w:lineRule="atLeast"/>
      <w:jc w:val="center"/>
    </w:pPr>
    <w:rPr>
      <w:rFonts w:ascii="Arial" w:hAnsi="Arial"/>
      <w:b/>
    </w:rPr>
  </w:style>
  <w:style w:type="paragraph" w:styleId="BalloonText">
    <w:name w:val="Balloon Text"/>
    <w:basedOn w:val="Normal"/>
    <w:semiHidden/>
    <w:rPr>
      <w:rFonts w:ascii="Tahoma" w:hAnsi="Tahoma"/>
      <w:sz w:val="16"/>
    </w:rPr>
  </w:style>
  <w:style w:type="paragraph" w:styleId="CommentSubject">
    <w:name w:val="annotation subject"/>
    <w:basedOn w:val="CommentText"/>
    <w:next w:val="CommentText"/>
    <w:semiHidden/>
    <w:rPr>
      <w:b/>
    </w:rPr>
  </w:style>
  <w:style w:type="paragraph" w:customStyle="1" w:styleId="RefNorm">
    <w:name w:val="RefNorm"/>
    <w:basedOn w:val="Normal"/>
    <w:next w:val="Normal"/>
    <w:pPr>
      <w:spacing w:before="0" w:after="240"/>
    </w:pPr>
    <w:rPr>
      <w:sz w:val="24"/>
    </w:rPr>
  </w:style>
  <w:style w:type="paragraph" w:customStyle="1" w:styleId="zzHelp">
    <w:name w:val="zzHelp"/>
    <w:basedOn w:val="Normal"/>
    <w:pPr>
      <w:spacing w:before="0" w:after="240"/>
    </w:pPr>
    <w:rPr>
      <w:color w:val="008000"/>
      <w:sz w:val="24"/>
    </w:rPr>
  </w:style>
  <w:style w:type="paragraph" w:styleId="ListNumber3">
    <w:name w:val="List Number 3"/>
    <w:basedOn w:val="Normal"/>
    <w:pPr>
      <w:numPr>
        <w:numId w:val="13"/>
      </w:numPr>
      <w:tabs>
        <w:tab w:val="clear" w:pos="1800"/>
        <w:tab w:val="left" w:pos="1080"/>
        <w:tab w:val="num" w:pos="1520"/>
      </w:tabs>
      <w:spacing w:before="0" w:after="240"/>
      <w:ind w:left="1080"/>
    </w:pPr>
    <w:rPr>
      <w:sz w:val="24"/>
    </w:rPr>
  </w:style>
  <w:style w:type="character" w:customStyle="1" w:styleId="CaptionChar1">
    <w:name w:val="Caption Char1"/>
    <w:aliases w:val="Caption Char Char,Caption Char1 Char Char,Caption Char Char Char Char,Caption Char1 Char1,Caption Char Char Char1"/>
    <w:rPr>
      <w:rFonts w:eastAsia="MS Mincho"/>
      <w:b/>
      <w:sz w:val="24"/>
    </w:rPr>
  </w:style>
  <w:style w:type="paragraph" w:styleId="ListContinue3">
    <w:name w:val="List Continue 3"/>
    <w:basedOn w:val="Normal"/>
    <w:pPr>
      <w:ind w:left="1080"/>
    </w:pPr>
  </w:style>
  <w:style w:type="paragraph" w:customStyle="1" w:styleId="TableBullet">
    <w:name w:val="Table Bullet"/>
    <w:basedOn w:val="Normal"/>
    <w:pPr>
      <w:numPr>
        <w:numId w:val="2"/>
      </w:numPr>
      <w:spacing w:before="0"/>
    </w:pPr>
    <w:rPr>
      <w:rFonts w:ascii="Book Antiqua" w:hAnsi="Book Antiqua"/>
      <w:color w:val="000000"/>
      <w:sz w:val="24"/>
    </w:rPr>
  </w:style>
  <w:style w:type="paragraph" w:customStyle="1" w:styleId="Table">
    <w:name w:val="Table"/>
    <w:basedOn w:val="Normal"/>
    <w:pPr>
      <w:spacing w:before="0"/>
    </w:pPr>
    <w:rPr>
      <w:rFonts w:ascii="Book Antiqua" w:hAnsi="Book Antiqua"/>
      <w:color w:val="000000"/>
      <w:sz w:val="24"/>
    </w:rPr>
  </w:style>
  <w:style w:type="character" w:customStyle="1" w:styleId="BodyCharCharCharCharCharCharCharCharCharCharCharCharCharCharCharCharChar1">
    <w:name w:val="Body Char Char Char Char Char Char Char Char Char Char Char Char Char Char Char Char Char1"/>
    <w:rPr>
      <w:rFonts w:ascii="Arial" w:eastAsia="Times" w:hAnsi="Arial"/>
      <w:sz w:val="24"/>
    </w:rPr>
  </w:style>
  <w:style w:type="character" w:customStyle="1" w:styleId="quoted1">
    <w:name w:val="quoted1"/>
    <w:basedOn w:val="DefaultParagraphFont"/>
  </w:style>
  <w:style w:type="character" w:customStyle="1" w:styleId="BodyCharCharCharCharCharCharCharCharCharCharCharJustifiedLaChar">
    <w:name w:val="Body Char Char Char Char Char Char Char Char Char Char Char + Justified + (La... Char"/>
    <w:rPr>
      <w:rFonts w:ascii="TimesNewRoman" w:eastAsia="Times" w:hAnsi="TimesNewRoman"/>
      <w:sz w:val="21"/>
    </w:rPr>
  </w:style>
  <w:style w:type="character" w:customStyle="1" w:styleId="CaptionCharChar1">
    <w:name w:val="Caption Char Char1"/>
    <w:aliases w:val="Caption Char1 Char Char1,Caption Char Char Char Char1,Caption Char Char1 Char Char Char,Caption ... Char"/>
    <w:rPr>
      <w:rFonts w:ascii="Arial" w:hAnsi="Arial"/>
      <w:b/>
    </w:rPr>
  </w:style>
  <w:style w:type="paragraph" w:customStyle="1" w:styleId="BibliographyEntry">
    <w:name w:val="Bibliography Entry"/>
    <w:basedOn w:val="Default"/>
    <w:next w:val="Default"/>
    <w:pPr>
      <w:spacing w:before="20" w:after="260"/>
    </w:pPr>
    <w:rPr>
      <w:rFonts w:ascii="Times New Roman" w:eastAsia="MS Mincho" w:hAnsi="Times New Roman"/>
      <w:sz w:val="24"/>
    </w:rPr>
  </w:style>
  <w:style w:type="character" w:customStyle="1" w:styleId="FootnoteTextChar">
    <w:name w:val="Footnote Text Char"/>
    <w:basedOn w:val="DefaultParagraphFont"/>
    <w:uiPriority w:val="99"/>
  </w:style>
  <w:style w:type="character" w:customStyle="1" w:styleId="FootnoteTextChar1Char">
    <w:name w:val="Footnote Text Char1 Char"/>
    <w:aliases w:val="Footnote Text Char Char Char,Footnote Text Char1... Char,Footnote Text Char2 Char,Footnote Text Char1 Char Char Char,Footnote Text Char Char Char Char Char,Footnote Text Char1 Char Char Char Char Char"/>
    <w:rPr>
      <w:sz w:val="16"/>
    </w:rPr>
  </w:style>
  <w:style w:type="paragraph" w:customStyle="1" w:styleId="Heading2NoNumber">
    <w:name w:val="Heading2NoNumber"/>
    <w:basedOn w:val="Heading2"/>
    <w:pPr>
      <w:numPr>
        <w:ilvl w:val="0"/>
        <w:numId w:val="0"/>
      </w:numPr>
      <w:tabs>
        <w:tab w:val="clear" w:pos="720"/>
      </w:tabs>
      <w:spacing w:before="240"/>
    </w:pPr>
    <w:rPr>
      <w:i/>
    </w:rPr>
  </w:style>
  <w:style w:type="paragraph" w:styleId="List">
    <w:name w:val="List"/>
    <w:basedOn w:val="Normal"/>
    <w:pPr>
      <w:spacing w:before="80" w:after="80"/>
      <w:ind w:left="360" w:hanging="360"/>
    </w:pPr>
  </w:style>
  <w:style w:type="paragraph" w:styleId="List3">
    <w:name w:val="List 3"/>
    <w:basedOn w:val="Normal"/>
    <w:pPr>
      <w:spacing w:before="80" w:after="80"/>
      <w:ind w:left="1080" w:hanging="360"/>
    </w:pPr>
  </w:style>
  <w:style w:type="paragraph" w:customStyle="1" w:styleId="TOCHeading">
    <w:name w:val="TOCHeading"/>
    <w:pPr>
      <w:spacing w:before="120" w:after="240"/>
    </w:pPr>
    <w:rPr>
      <w:rFonts w:ascii="Arial" w:hAnsi="Arial"/>
      <w:b/>
      <w:noProof/>
      <w:sz w:val="28"/>
    </w:rPr>
  </w:style>
  <w:style w:type="paragraph" w:customStyle="1" w:styleId="Code">
    <w:name w:val="Code"/>
    <w:basedOn w:val="Normal"/>
    <w:pPr>
      <w:pBdr>
        <w:top w:val="single" w:sz="4" w:space="1" w:color="auto"/>
        <w:left w:val="single" w:sz="4" w:space="4" w:color="auto"/>
        <w:bottom w:val="single" w:sz="4" w:space="1" w:color="auto"/>
        <w:right w:val="single" w:sz="4" w:space="4" w:color="auto"/>
      </w:pBdr>
      <w:tabs>
        <w:tab w:val="left" w:pos="360"/>
        <w:tab w:val="left" w:pos="720"/>
        <w:tab w:val="left" w:pos="1080"/>
        <w:tab w:val="left" w:pos="1440"/>
        <w:tab w:val="left" w:pos="1800"/>
      </w:tabs>
      <w:spacing w:before="0" w:after="0"/>
    </w:pPr>
    <w:rPr>
      <w:rFonts w:ascii="Courier New" w:hAnsi="Courier New"/>
      <w:snapToGrid w:val="0"/>
      <w:sz w:val="18"/>
    </w:rPr>
  </w:style>
  <w:style w:type="paragraph" w:customStyle="1" w:styleId="Appendix20">
    <w:name w:val="Appendix2"/>
    <w:basedOn w:val="Normal"/>
    <w:pPr>
      <w:spacing w:after="240"/>
    </w:pPr>
    <w:rPr>
      <w:rFonts w:ascii="Arial" w:hAnsi="Arial"/>
      <w:b/>
      <w:sz w:val="24"/>
    </w:rPr>
  </w:style>
  <w:style w:type="paragraph" w:customStyle="1" w:styleId="Style1">
    <w:name w:val="Style1"/>
    <w:basedOn w:val="Normal"/>
    <w:pPr>
      <w:pBdr>
        <w:top w:val="single" w:sz="4" w:space="1" w:color="auto"/>
        <w:left w:val="single" w:sz="4" w:space="4" w:color="auto"/>
        <w:bottom w:val="single" w:sz="4" w:space="1" w:color="auto"/>
        <w:right w:val="single" w:sz="4" w:space="4" w:color="auto"/>
      </w:pBdr>
      <w:spacing w:before="0" w:after="0"/>
      <w:jc w:val="center"/>
    </w:pPr>
    <w:rPr>
      <w:rFonts w:ascii="Times" w:eastAsia="Times" w:hAnsi="Times"/>
      <w:sz w:val="24"/>
    </w:rPr>
  </w:style>
  <w:style w:type="paragraph" w:customStyle="1" w:styleId="Heading1NoNumber">
    <w:name w:val="Heading1NoNumber"/>
    <w:basedOn w:val="Heading1"/>
    <w:pPr>
      <w:pageBreakBefore/>
      <w:widowControl w:val="0"/>
      <w:numPr>
        <w:numId w:val="0"/>
      </w:numPr>
      <w:spacing w:before="240" w:after="60"/>
    </w:pPr>
    <w:rPr>
      <w:kern w:val="28"/>
      <w:sz w:val="32"/>
    </w:rPr>
  </w:style>
  <w:style w:type="paragraph" w:customStyle="1" w:styleId="Heading3NoNumber">
    <w:name w:val="Heading3NoNumber"/>
    <w:basedOn w:val="Heading3"/>
    <w:pPr>
      <w:numPr>
        <w:ilvl w:val="0"/>
        <w:numId w:val="0"/>
      </w:numPr>
      <w:spacing w:before="240"/>
    </w:pPr>
    <w:rPr>
      <w:i w:val="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rPr>
  </w:style>
  <w:style w:type="paragraph" w:customStyle="1" w:styleId="Policy">
    <w:name w:val="Policy"/>
    <w:basedOn w:val="Heading3"/>
    <w:pPr>
      <w:keepNext w:val="0"/>
      <w:numPr>
        <w:numId w:val="3"/>
      </w:numPr>
      <w:spacing w:before="80" w:after="80"/>
    </w:pPr>
    <w:rPr>
      <w:rFonts w:ascii="Times New Roman" w:hAnsi="Times New Roman"/>
      <w:b w:val="0"/>
      <w:i w:val="0"/>
    </w:rPr>
  </w:style>
  <w:style w:type="paragraph" w:customStyle="1" w:styleId="OGCClause">
    <w:name w:val="OGC Clause"/>
    <w:basedOn w:val="Normal"/>
    <w:next w:val="Normal"/>
    <w:pPr>
      <w:keepNext/>
      <w:tabs>
        <w:tab w:val="num" w:pos="360"/>
        <w:tab w:val="left" w:pos="400"/>
      </w:tabs>
      <w:suppressAutoHyphens/>
      <w:spacing w:before="960" w:after="310"/>
    </w:pPr>
    <w:rPr>
      <w:b/>
      <w:sz w:val="28"/>
    </w:rPr>
  </w:style>
  <w:style w:type="paragraph" w:customStyle="1" w:styleId="OGCtableheader">
    <w:name w:val="OGC table header"/>
    <w:basedOn w:val="BodyTextIndent"/>
    <w:pPr>
      <w:suppressAutoHyphens/>
      <w:spacing w:before="60" w:after="60" w:line="208" w:lineRule="auto"/>
      <w:ind w:left="0"/>
      <w:jc w:val="center"/>
    </w:pPr>
    <w:rPr>
      <w:b/>
      <w:sz w:val="22"/>
    </w:rPr>
  </w:style>
  <w:style w:type="paragraph" w:customStyle="1" w:styleId="OGCtabletext">
    <w:name w:val="OGC table text"/>
    <w:basedOn w:val="OGCtableheader"/>
    <w:pPr>
      <w:jc w:val="left"/>
    </w:pPr>
    <w:rPr>
      <w:b w:val="0"/>
    </w:rPr>
  </w:style>
  <w:style w:type="paragraph" w:customStyle="1" w:styleId="zzCopyright">
    <w:name w:val="zzCopyright"/>
    <w:basedOn w:val="Normal"/>
    <w:next w:val="Normal"/>
    <w:pPr>
      <w:pBdr>
        <w:top w:val="single" w:sz="6" w:space="1" w:color="auto"/>
        <w:left w:val="single" w:sz="6" w:space="4" w:color="auto"/>
        <w:bottom w:val="single" w:sz="6" w:space="1" w:color="auto"/>
        <w:right w:val="single" w:sz="6" w:space="4" w:color="auto"/>
      </w:pBdr>
      <w:tabs>
        <w:tab w:val="left" w:pos="514"/>
        <w:tab w:val="left" w:pos="9623"/>
      </w:tabs>
      <w:spacing w:before="0" w:after="240"/>
      <w:ind w:left="284" w:right="284"/>
    </w:pPr>
    <w:rPr>
      <w:color w:val="0000FF"/>
      <w:sz w:val="24"/>
    </w:rPr>
  </w:style>
  <w:style w:type="paragraph" w:customStyle="1" w:styleId="Body">
    <w:name w:val="Body"/>
    <w:pPr>
      <w:spacing w:before="120" w:after="120"/>
    </w:pPr>
    <w:rPr>
      <w:rFonts w:ascii="Arial" w:eastAsia="Times" w:hAnsi="Arial"/>
      <w:noProof/>
    </w:rPr>
  </w:style>
  <w:style w:type="paragraph" w:customStyle="1" w:styleId="Heading3ListNumber">
    <w:name w:val="Heading3ListNumber"/>
    <w:basedOn w:val="Heading3"/>
    <w:pPr>
      <w:numPr>
        <w:ilvl w:val="0"/>
        <w:numId w:val="16"/>
      </w:numPr>
      <w:spacing w:before="240"/>
    </w:pPr>
    <w:rPr>
      <w:i w:val="0"/>
      <w:sz w:val="20"/>
    </w:rPr>
  </w:style>
  <w:style w:type="paragraph" w:styleId="HTMLAddress">
    <w:name w:val="HTML Address"/>
    <w:basedOn w:val="z-TopofForm"/>
    <w:pPr>
      <w:pBdr>
        <w:bottom w:val="none" w:sz="0" w:space="0" w:color="auto"/>
      </w:pBdr>
      <w:spacing w:before="0" w:after="0"/>
      <w:jc w:val="left"/>
    </w:pPr>
    <w:rPr>
      <w:rFonts w:ascii="Times New Roman" w:hAnsi="Times New Roman"/>
      <w:vanish w:val="0"/>
      <w:sz w:val="24"/>
    </w:rPr>
  </w:style>
  <w:style w:type="paragraph" w:styleId="z-TopofForm">
    <w:name w:val="HTML Top of Form"/>
    <w:basedOn w:val="Normal"/>
    <w:next w:val="Normal"/>
    <w:hidden/>
    <w:pPr>
      <w:pBdr>
        <w:bottom w:val="single" w:sz="6" w:space="1" w:color="000000"/>
      </w:pBdr>
      <w:spacing w:before="100" w:after="100"/>
      <w:jc w:val="center"/>
    </w:pPr>
    <w:rPr>
      <w:rFonts w:ascii="Arial" w:hAnsi="Arial"/>
      <w:vanish/>
      <w:sz w:val="16"/>
    </w:rPr>
  </w:style>
  <w:style w:type="character" w:customStyle="1" w:styleId="A1">
    <w:name w:val="A1"/>
    <w:uiPriority w:val="99"/>
    <w:rsid w:val="00D541EB"/>
    <w:rPr>
      <w:rFonts w:cs="Univers 67 Condensed"/>
      <w:b/>
      <w:bCs/>
      <w:color w:val="211D1E"/>
      <w:sz w:val="40"/>
      <w:szCs w:val="40"/>
    </w:rPr>
  </w:style>
  <w:style w:type="paragraph" w:styleId="EndnoteText">
    <w:name w:val="endnote text"/>
    <w:basedOn w:val="Normal"/>
    <w:link w:val="EndnoteTextChar"/>
    <w:uiPriority w:val="99"/>
    <w:unhideWhenUsed/>
    <w:rsid w:val="00DF0298"/>
    <w:pPr>
      <w:spacing w:before="0" w:after="0"/>
    </w:pPr>
    <w:rPr>
      <w:rFonts w:ascii="Cambria" w:eastAsia="MS Mincho" w:hAnsi="Cambria"/>
      <w:noProof w:val="0"/>
      <w:szCs w:val="24"/>
      <w:lang w:val="x-none" w:eastAsia="x-none"/>
    </w:rPr>
  </w:style>
  <w:style w:type="character" w:customStyle="1" w:styleId="EndnoteTextChar">
    <w:name w:val="Endnote Text Char"/>
    <w:link w:val="EndnoteText"/>
    <w:uiPriority w:val="99"/>
    <w:rsid w:val="00DF0298"/>
    <w:rPr>
      <w:rFonts w:ascii="Cambria" w:eastAsia="MS Mincho" w:hAnsi="Cambria"/>
      <w:sz w:val="22"/>
      <w:szCs w:val="24"/>
    </w:rPr>
  </w:style>
  <w:style w:type="paragraph" w:customStyle="1" w:styleId="ColorfulShading-Accent11">
    <w:name w:val="Colorful Shading - Accent 11"/>
    <w:hidden/>
    <w:uiPriority w:val="71"/>
    <w:rsid w:val="00896BD7"/>
    <w:rPr>
      <w:noProof/>
    </w:rPr>
  </w:style>
  <w:style w:type="table" w:styleId="TableGrid">
    <w:name w:val="Table Grid"/>
    <w:basedOn w:val="TableNormal"/>
    <w:uiPriority w:val="59"/>
    <w:rsid w:val="00E03E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Shading-Accent12">
    <w:name w:val="Colorful Shading - Accent 12"/>
    <w:hidden/>
    <w:uiPriority w:val="71"/>
    <w:rsid w:val="00B27214"/>
    <w:rPr>
      <w:noProof/>
    </w:rPr>
  </w:style>
  <w:style w:type="paragraph" w:customStyle="1" w:styleId="Elencoacolori-Colore11">
    <w:name w:val="Elenco a colori - Colore 11"/>
    <w:basedOn w:val="Normal"/>
    <w:uiPriority w:val="34"/>
    <w:qFormat/>
    <w:rsid w:val="00701B1F"/>
    <w:pPr>
      <w:spacing w:before="0" w:after="200" w:line="276" w:lineRule="auto"/>
      <w:ind w:left="720"/>
      <w:contextualSpacing/>
    </w:pPr>
    <w:rPr>
      <w:rFonts w:ascii="Calibri" w:eastAsia="Calibri" w:hAnsi="Calibri"/>
      <w:noProof w:val="0"/>
      <w:szCs w:val="22"/>
    </w:rPr>
  </w:style>
  <w:style w:type="paragraph" w:styleId="Revision">
    <w:name w:val="Revision"/>
    <w:hidden/>
    <w:uiPriority w:val="71"/>
    <w:rsid w:val="002E7453"/>
    <w:rPr>
      <w:noProof/>
    </w:rPr>
  </w:style>
  <w:style w:type="character" w:customStyle="1" w:styleId="CommentTextChar">
    <w:name w:val="Comment Text Char"/>
    <w:link w:val="CommentText"/>
    <w:uiPriority w:val="99"/>
    <w:rsid w:val="0068741D"/>
    <w:rPr>
      <w:noProof/>
    </w:rPr>
  </w:style>
  <w:style w:type="paragraph" w:styleId="ListParagraph">
    <w:name w:val="List Paragraph"/>
    <w:basedOn w:val="Normal"/>
    <w:uiPriority w:val="34"/>
    <w:qFormat/>
    <w:rsid w:val="004B07A8"/>
    <w:pPr>
      <w:spacing w:before="0" w:line="276" w:lineRule="auto"/>
      <w:ind w:left="720"/>
      <w:contextualSpacing/>
      <w:jc w:val="both"/>
    </w:pPr>
    <w:rPr>
      <w:rFonts w:eastAsia="Calibri"/>
      <w:noProof w:val="0"/>
      <w:szCs w:val="22"/>
    </w:rPr>
  </w:style>
  <w:style w:type="paragraph" w:customStyle="1" w:styleId="InfoBlue">
    <w:name w:val="InfoBlue"/>
    <w:basedOn w:val="Normal"/>
    <w:next w:val="BodyText"/>
    <w:autoRedefine/>
    <w:rsid w:val="00E033BC"/>
    <w:pPr>
      <w:widowControl w:val="0"/>
      <w:spacing w:before="0" w:line="240" w:lineRule="atLeast"/>
      <w:ind w:left="630" w:hanging="630"/>
      <w:jc w:val="both"/>
      <w:outlineLvl w:val="3"/>
    </w:pPr>
    <w:rPr>
      <w:noProof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C73"/>
    <w:pPr>
      <w:spacing w:before="120" w:after="120"/>
    </w:pPr>
    <w:rPr>
      <w:noProof/>
      <w:sz w:val="22"/>
    </w:rPr>
  </w:style>
  <w:style w:type="paragraph" w:styleId="Heading1">
    <w:name w:val="heading 1"/>
    <w:aliases w:val="H1,h1,clause,section head,Headline 1"/>
    <w:basedOn w:val="Normal"/>
    <w:next w:val="Normal"/>
    <w:qFormat/>
    <w:pPr>
      <w:numPr>
        <w:numId w:val="8"/>
      </w:numPr>
      <w:jc w:val="both"/>
      <w:outlineLvl w:val="0"/>
    </w:pPr>
    <w:rPr>
      <w:rFonts w:ascii="Arial" w:hAnsi="Arial"/>
      <w:b/>
      <w:kern w:val="36"/>
      <w:sz w:val="28"/>
    </w:rPr>
  </w:style>
  <w:style w:type="paragraph" w:styleId="Heading2">
    <w:name w:val="heading 2"/>
    <w:aliases w:val="H2,h2,sub-clause 2,level 2,Subhead A,subhead,RFQ1,Headline 2,headi,heading2,h21,h22,21,2"/>
    <w:basedOn w:val="Normal"/>
    <w:next w:val="Normal"/>
    <w:qFormat/>
    <w:pPr>
      <w:keepNext/>
      <w:numPr>
        <w:ilvl w:val="1"/>
        <w:numId w:val="8"/>
      </w:numPr>
      <w:tabs>
        <w:tab w:val="left" w:pos="720"/>
      </w:tabs>
      <w:spacing w:after="60"/>
      <w:jc w:val="both"/>
      <w:outlineLvl w:val="1"/>
    </w:pPr>
    <w:rPr>
      <w:rFonts w:ascii="Arial" w:hAnsi="Arial"/>
      <w:b/>
      <w:sz w:val="24"/>
    </w:rPr>
  </w:style>
  <w:style w:type="paragraph" w:styleId="Heading3">
    <w:name w:val="heading 3"/>
    <w:aliases w:val="H3,h3,sub-clause 3,hd3,hd3 + Block,Vor:  12 pt,Nach:  6 pt,Zeile......,level 3,Subhead B,para head,3"/>
    <w:basedOn w:val="Normal"/>
    <w:next w:val="Normal"/>
    <w:qFormat/>
    <w:rsid w:val="00357EC9"/>
    <w:pPr>
      <w:keepNext/>
      <w:numPr>
        <w:ilvl w:val="2"/>
        <w:numId w:val="8"/>
      </w:numPr>
      <w:tabs>
        <w:tab w:val="left" w:pos="1080"/>
      </w:tabs>
      <w:spacing w:after="60"/>
      <w:jc w:val="both"/>
      <w:outlineLvl w:val="2"/>
    </w:pPr>
    <w:rPr>
      <w:rFonts w:ascii="Arial" w:hAnsi="Arial"/>
      <w:b/>
      <w:i/>
      <w:sz w:val="24"/>
    </w:rPr>
  </w:style>
  <w:style w:type="paragraph" w:styleId="Heading4">
    <w:name w:val="heading 4"/>
    <w:aliases w:val="H4,h4,sub-clause 4,hd4,Subhead C,T4"/>
    <w:basedOn w:val="Normal"/>
    <w:next w:val="Normal"/>
    <w:qFormat/>
    <w:rsid w:val="00E1759E"/>
    <w:pPr>
      <w:numPr>
        <w:ilvl w:val="3"/>
        <w:numId w:val="8"/>
      </w:numPr>
      <w:spacing w:before="60" w:after="60"/>
      <w:jc w:val="both"/>
      <w:outlineLvl w:val="3"/>
    </w:pPr>
    <w:rPr>
      <w:rFonts w:ascii="Arial" w:hAnsi="Arial"/>
      <w:i/>
      <w:szCs w:val="22"/>
    </w:rPr>
  </w:style>
  <w:style w:type="paragraph" w:styleId="Heading5">
    <w:name w:val="heading 5"/>
    <w:aliases w:val="H5,h5,sub-clause 5"/>
    <w:basedOn w:val="Normal"/>
    <w:next w:val="Normal"/>
    <w:qFormat/>
    <w:pPr>
      <w:numPr>
        <w:ilvl w:val="4"/>
        <w:numId w:val="8"/>
      </w:numPr>
      <w:spacing w:before="240" w:after="60"/>
      <w:jc w:val="both"/>
      <w:outlineLvl w:val="4"/>
    </w:pPr>
    <w:rPr>
      <w:rFonts w:ascii="Arial" w:hAnsi="Arial"/>
      <w:b/>
      <w:i/>
    </w:rPr>
  </w:style>
  <w:style w:type="paragraph" w:styleId="Heading6">
    <w:name w:val="heading 6"/>
    <w:aliases w:val="H6,LEVEL 6,sub-dash,sd,5,h6,sub-clause 6"/>
    <w:basedOn w:val="Normal"/>
    <w:next w:val="Normal"/>
    <w:qFormat/>
    <w:pPr>
      <w:numPr>
        <w:ilvl w:val="5"/>
        <w:numId w:val="8"/>
      </w:numPr>
      <w:spacing w:before="240" w:after="60"/>
      <w:jc w:val="both"/>
      <w:outlineLvl w:val="5"/>
    </w:pPr>
    <w:rPr>
      <w:rFonts w:ascii="Arial" w:hAnsi="Arial"/>
      <w:i/>
    </w:rPr>
  </w:style>
  <w:style w:type="paragraph" w:styleId="Heading7">
    <w:name w:val="heading 7"/>
    <w:aliases w:val="LEVEL 7"/>
    <w:basedOn w:val="Normal"/>
    <w:next w:val="Normal"/>
    <w:qFormat/>
    <w:pPr>
      <w:numPr>
        <w:ilvl w:val="6"/>
        <w:numId w:val="8"/>
      </w:numPr>
      <w:spacing w:before="240" w:after="60"/>
      <w:jc w:val="both"/>
      <w:outlineLvl w:val="6"/>
    </w:pPr>
    <w:rPr>
      <w:rFonts w:ascii="Arial" w:hAnsi="Arial"/>
      <w:sz w:val="24"/>
    </w:rPr>
  </w:style>
  <w:style w:type="paragraph" w:styleId="Heading8">
    <w:name w:val="heading 8"/>
    <w:aliases w:val="(table no.)"/>
    <w:basedOn w:val="Normal"/>
    <w:next w:val="Normal"/>
    <w:qFormat/>
    <w:pPr>
      <w:numPr>
        <w:ilvl w:val="7"/>
        <w:numId w:val="8"/>
      </w:numPr>
      <w:spacing w:before="240" w:after="60"/>
      <w:jc w:val="both"/>
      <w:outlineLvl w:val="7"/>
    </w:pPr>
    <w:rPr>
      <w:rFonts w:ascii="Arial" w:hAnsi="Arial"/>
      <w:i/>
      <w:sz w:val="24"/>
    </w:rPr>
  </w:style>
  <w:style w:type="paragraph" w:styleId="Heading9">
    <w:name w:val="heading 9"/>
    <w:basedOn w:val="Normal"/>
    <w:next w:val="Normal"/>
    <w:qFormat/>
    <w:pPr>
      <w:numPr>
        <w:ilvl w:val="8"/>
        <w:numId w:val="8"/>
      </w:numPr>
      <w:spacing w:before="240" w:after="60"/>
      <w:jc w:val="both"/>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spacing w:before="40" w:after="40"/>
    </w:pPr>
    <w:rPr>
      <w:rFonts w:ascii="Arial" w:hAnsi="Arial"/>
      <w:b/>
      <w:sz w:val="24"/>
    </w:rPr>
  </w:style>
  <w:style w:type="paragraph" w:styleId="TOC2">
    <w:name w:val="toc 2"/>
    <w:basedOn w:val="Normal"/>
    <w:next w:val="Normal"/>
    <w:semiHidden/>
    <w:pPr>
      <w:spacing w:before="0" w:after="0"/>
      <w:ind w:left="202"/>
    </w:pPr>
    <w:rPr>
      <w:b/>
    </w:rPr>
  </w:style>
  <w:style w:type="paragraph" w:styleId="TOC3">
    <w:name w:val="toc 3"/>
    <w:basedOn w:val="Normal"/>
    <w:next w:val="Normal"/>
    <w:semiHidden/>
    <w:pPr>
      <w:spacing w:after="0"/>
      <w:ind w:left="400"/>
    </w:pPr>
    <w:rPr>
      <w:i/>
    </w:rPr>
  </w:style>
  <w:style w:type="paragraph" w:customStyle="1" w:styleId="Reference">
    <w:name w:val="Reference"/>
    <w:basedOn w:val="Normal"/>
    <w:pPr>
      <w:tabs>
        <w:tab w:val="left" w:pos="720"/>
      </w:tabs>
      <w:spacing w:before="40" w:after="40"/>
      <w:ind w:left="720" w:hanging="720"/>
      <w:jc w:val="both"/>
    </w:pPr>
  </w:style>
  <w:style w:type="paragraph" w:customStyle="1" w:styleId="TechRequirementHeading">
    <w:name w:val="TechRequirement Heading"/>
    <w:basedOn w:val="RequirementHeading"/>
    <w:pPr>
      <w:spacing w:before="120"/>
      <w:ind w:left="0" w:firstLine="0"/>
      <w:jc w:val="left"/>
    </w:pPr>
    <w:rPr>
      <w:sz w:val="24"/>
    </w:rPr>
  </w:style>
  <w:style w:type="paragraph" w:customStyle="1" w:styleId="RequirementHeading">
    <w:name w:val="Requirement Heading"/>
    <w:basedOn w:val="Normal"/>
    <w:pPr>
      <w:spacing w:before="40" w:after="40"/>
      <w:ind w:left="1080" w:hanging="630"/>
      <w:jc w:val="both"/>
    </w:pPr>
    <w:rPr>
      <w:b/>
      <w:sz w:val="18"/>
    </w:rPr>
  </w:style>
  <w:style w:type="character" w:styleId="PageNumber">
    <w:name w:val="page number"/>
    <w:basedOn w:val="DefaultParagraphFont"/>
  </w:style>
  <w:style w:type="paragraph" w:styleId="BodyText2">
    <w:name w:val="Body Text 2"/>
    <w:basedOn w:val="Normal"/>
    <w:pPr>
      <w:spacing w:before="40" w:after="40"/>
      <w:ind w:firstLine="360"/>
    </w:pPr>
    <w:rPr>
      <w:sz w:val="24"/>
    </w:rPr>
  </w:style>
  <w:style w:type="paragraph" w:customStyle="1" w:styleId="Blockquote">
    <w:name w:val="Blockquote"/>
    <w:basedOn w:val="Normal"/>
    <w:pPr>
      <w:spacing w:before="40" w:after="40"/>
      <w:ind w:left="1080" w:right="360" w:hanging="360"/>
    </w:pPr>
    <w:rPr>
      <w:sz w:val="18"/>
    </w:rPr>
  </w:style>
  <w:style w:type="paragraph" w:customStyle="1" w:styleId="TableHeading">
    <w:name w:val="TableHeading"/>
    <w:basedOn w:val="Normal"/>
    <w:pPr>
      <w:spacing w:before="40" w:after="40"/>
      <w:ind w:left="360" w:hanging="360"/>
    </w:pPr>
    <w:rPr>
      <w:b/>
      <w:sz w:val="18"/>
    </w:rPr>
  </w:style>
  <w:style w:type="paragraph" w:customStyle="1" w:styleId="TableEntry">
    <w:name w:val="TableEntry"/>
    <w:basedOn w:val="Normal"/>
    <w:pPr>
      <w:spacing w:before="40" w:after="40"/>
      <w:ind w:left="360" w:hanging="360"/>
    </w:pPr>
    <w:rPr>
      <w:sz w:val="18"/>
    </w:rPr>
  </w:style>
  <w:style w:type="paragraph" w:styleId="Header">
    <w:name w:val="header"/>
    <w:basedOn w:val="Normal"/>
    <w:pPr>
      <w:tabs>
        <w:tab w:val="center" w:pos="4320"/>
        <w:tab w:val="right" w:pos="8640"/>
      </w:tabs>
      <w:spacing w:before="40" w:after="40"/>
      <w:ind w:left="1080" w:hanging="360"/>
      <w:jc w:val="both"/>
    </w:pPr>
    <w:rPr>
      <w:sz w:val="18"/>
    </w:rPr>
  </w:style>
  <w:style w:type="paragraph" w:styleId="Footer">
    <w:name w:val="footer"/>
    <w:basedOn w:val="Normal"/>
    <w:pPr>
      <w:tabs>
        <w:tab w:val="center" w:pos="4320"/>
        <w:tab w:val="right" w:pos="8640"/>
      </w:tabs>
      <w:spacing w:before="40" w:after="40"/>
      <w:ind w:left="1080" w:hanging="360"/>
      <w:jc w:val="both"/>
    </w:pPr>
    <w:rPr>
      <w:rFonts w:ascii="Arial" w:hAnsi="Arial"/>
      <w:sz w:val="18"/>
    </w:rPr>
  </w:style>
  <w:style w:type="paragraph" w:styleId="BodyText">
    <w:name w:val="Body Text"/>
    <w:basedOn w:val="Normal"/>
    <w:pPr>
      <w:widowControl w:val="0"/>
      <w:spacing w:before="40" w:after="160"/>
    </w:pPr>
    <w:rPr>
      <w:rFonts w:eastAsia="MS Mincho"/>
    </w:rPr>
  </w:style>
  <w:style w:type="paragraph" w:customStyle="1" w:styleId="List1">
    <w:name w:val="List 1"/>
    <w:basedOn w:val="Normal"/>
    <w:pPr>
      <w:spacing w:after="40"/>
      <w:ind w:left="720" w:right="4320" w:hanging="720"/>
    </w:pPr>
    <w:rPr>
      <w:rFonts w:ascii="Times" w:hAnsi="Times"/>
      <w:sz w:val="24"/>
    </w:rPr>
  </w:style>
  <w:style w:type="paragraph" w:styleId="TOC4">
    <w:name w:val="toc 4"/>
    <w:basedOn w:val="Normal"/>
    <w:next w:val="Normal"/>
    <w:semiHidden/>
    <w:pPr>
      <w:spacing w:after="0"/>
      <w:ind w:left="600"/>
    </w:pPr>
    <w:rPr>
      <w:sz w:val="18"/>
    </w:rPr>
  </w:style>
  <w:style w:type="paragraph" w:styleId="ListNumber">
    <w:name w:val="List Number"/>
    <w:basedOn w:val="Normal"/>
    <w:pPr>
      <w:numPr>
        <w:numId w:val="10"/>
      </w:numPr>
      <w:tabs>
        <w:tab w:val="left" w:pos="360"/>
      </w:tabs>
      <w:spacing w:before="40" w:after="40"/>
    </w:pPr>
  </w:style>
  <w:style w:type="paragraph" w:styleId="ListBullet">
    <w:name w:val="List Bullet"/>
    <w:aliases w:val="UL"/>
    <w:basedOn w:val="Normal"/>
    <w:pPr>
      <w:numPr>
        <w:numId w:val="1"/>
      </w:numPr>
      <w:spacing w:before="40" w:after="40"/>
    </w:pPr>
  </w:style>
  <w:style w:type="paragraph" w:styleId="ListBullet2">
    <w:name w:val="List Bullet 2"/>
    <w:basedOn w:val="Normal"/>
    <w:pPr>
      <w:numPr>
        <w:numId w:val="9"/>
      </w:numPr>
      <w:spacing w:before="40" w:after="40"/>
    </w:pPr>
  </w:style>
  <w:style w:type="paragraph" w:styleId="NormalIndent">
    <w:name w:val="Normal Indent"/>
    <w:basedOn w:val="Normal"/>
    <w:pPr>
      <w:spacing w:before="40" w:after="40"/>
      <w:ind w:left="720" w:firstLine="360"/>
    </w:pPr>
  </w:style>
  <w:style w:type="paragraph" w:customStyle="1" w:styleId="Note">
    <w:name w:val="Note"/>
    <w:basedOn w:val="Normal"/>
    <w:pPr>
      <w:pBdr>
        <w:top w:val="single" w:sz="6" w:space="1" w:color="auto"/>
        <w:left w:val="single" w:sz="6" w:space="4" w:color="auto"/>
        <w:bottom w:val="single" w:sz="6" w:space="1" w:color="auto"/>
        <w:right w:val="single" w:sz="6" w:space="4" w:color="auto"/>
      </w:pBdr>
      <w:spacing w:before="40" w:after="40"/>
    </w:pPr>
  </w:style>
  <w:style w:type="paragraph" w:styleId="Caption">
    <w:name w:val="caption"/>
    <w:aliases w:val="Caption Char,Caption Char1 Char,Caption Char Char Char,Caption Char Char1 Char Char,Caption ..."/>
    <w:basedOn w:val="Normal"/>
    <w:next w:val="Normal"/>
    <w:uiPriority w:val="99"/>
    <w:qFormat/>
    <w:pPr>
      <w:spacing w:after="240"/>
      <w:jc w:val="center"/>
    </w:pPr>
    <w:rPr>
      <w:rFonts w:ascii="Arial" w:hAnsi="Arial"/>
      <w:b/>
    </w:rPr>
  </w:style>
  <w:style w:type="paragraph" w:styleId="TOC5">
    <w:name w:val="toc 5"/>
    <w:basedOn w:val="Normal"/>
    <w:next w:val="Normal"/>
    <w:semiHidden/>
    <w:pPr>
      <w:spacing w:after="0"/>
      <w:ind w:left="800"/>
    </w:pPr>
    <w:rPr>
      <w:sz w:val="18"/>
    </w:rPr>
  </w:style>
  <w:style w:type="paragraph" w:styleId="TOC6">
    <w:name w:val="toc 6"/>
    <w:basedOn w:val="Normal"/>
    <w:next w:val="Normal"/>
    <w:semiHidden/>
    <w:pPr>
      <w:spacing w:after="0"/>
      <w:ind w:left="1000"/>
    </w:pPr>
    <w:rPr>
      <w:sz w:val="18"/>
    </w:rPr>
  </w:style>
  <w:style w:type="paragraph" w:styleId="TOC7">
    <w:name w:val="toc 7"/>
    <w:basedOn w:val="Normal"/>
    <w:next w:val="Normal"/>
    <w:semiHidden/>
    <w:pPr>
      <w:spacing w:after="0"/>
      <w:ind w:left="1200"/>
    </w:pPr>
    <w:rPr>
      <w:sz w:val="18"/>
    </w:rPr>
  </w:style>
  <w:style w:type="paragraph" w:styleId="TOC8">
    <w:name w:val="toc 8"/>
    <w:basedOn w:val="Normal"/>
    <w:next w:val="Normal"/>
    <w:semiHidden/>
    <w:pPr>
      <w:spacing w:after="0"/>
      <w:ind w:left="1400"/>
    </w:pPr>
    <w:rPr>
      <w:sz w:val="18"/>
    </w:rPr>
  </w:style>
  <w:style w:type="paragraph" w:styleId="TOC9">
    <w:name w:val="toc 9"/>
    <w:basedOn w:val="Normal"/>
    <w:next w:val="Normal"/>
    <w:semiHidden/>
    <w:pPr>
      <w:spacing w:after="0"/>
      <w:ind w:left="1600"/>
    </w:pPr>
    <w:rPr>
      <w:sz w:val="18"/>
    </w:rPr>
  </w:style>
  <w:style w:type="character" w:styleId="Hyperlink">
    <w:name w:val="Hyperlink"/>
    <w:uiPriority w:val="99"/>
    <w:rPr>
      <w:color w:val="0000FF"/>
      <w:u w:val="single"/>
    </w:rPr>
  </w:style>
  <w:style w:type="paragraph" w:styleId="BodyTextIndent">
    <w:name w:val="Body Text Indent"/>
    <w:basedOn w:val="Normal"/>
    <w:pPr>
      <w:spacing w:after="0"/>
      <w:ind w:left="720"/>
      <w:jc w:val="both"/>
    </w:pPr>
    <w:rPr>
      <w:sz w:val="24"/>
    </w:rPr>
  </w:style>
  <w:style w:type="paragraph" w:customStyle="1" w:styleId="AnnexHeader">
    <w:name w:val="AnnexHeader"/>
    <w:basedOn w:val="Normal"/>
    <w:next w:val="Normal"/>
    <w:pPr>
      <w:pageBreakBefore/>
      <w:widowControl w:val="0"/>
      <w:spacing w:after="240"/>
      <w:outlineLvl w:val="0"/>
    </w:pPr>
    <w:rPr>
      <w:rFonts w:ascii="Arial" w:hAnsi="Arial"/>
      <w:b/>
      <w:sz w:val="32"/>
    </w:rPr>
  </w:style>
  <w:style w:type="paragraph" w:styleId="BodyText3">
    <w:name w:val="Body Text 3"/>
    <w:basedOn w:val="Normal"/>
    <w:pPr>
      <w:spacing w:after="0"/>
      <w:jc w:val="both"/>
    </w:pPr>
  </w:style>
  <w:style w:type="paragraph" w:styleId="Subtitle">
    <w:name w:val="Subtitle"/>
    <w:basedOn w:val="Normal"/>
    <w:qFormat/>
    <w:pPr>
      <w:spacing w:after="60"/>
      <w:jc w:val="center"/>
      <w:outlineLvl w:val="1"/>
    </w:pPr>
    <w:rPr>
      <w:rFonts w:ascii="Arial" w:hAnsi="Arial"/>
      <w:sz w:val="24"/>
    </w:rPr>
  </w:style>
  <w:style w:type="paragraph" w:styleId="Title">
    <w:name w:val="Title"/>
    <w:basedOn w:val="Normal"/>
    <w:qFormat/>
    <w:pPr>
      <w:spacing w:before="240" w:after="60"/>
      <w:jc w:val="center"/>
      <w:outlineLvl w:val="0"/>
    </w:pPr>
    <w:rPr>
      <w:rFonts w:ascii="Arial" w:hAnsi="Arial"/>
      <w:b/>
      <w:kern w:val="28"/>
      <w:sz w:val="32"/>
    </w:rPr>
  </w:style>
  <w:style w:type="paragraph" w:styleId="ListBullet4">
    <w:name w:val="List Bullet 4"/>
    <w:basedOn w:val="ListBullet"/>
    <w:autoRedefine/>
    <w:pPr>
      <w:keepNext/>
      <w:numPr>
        <w:ilvl w:val="1"/>
        <w:numId w:val="3"/>
      </w:numPr>
      <w:suppressLineNumbers/>
      <w:tabs>
        <w:tab w:val="clear" w:pos="1440"/>
        <w:tab w:val="left" w:pos="1800"/>
      </w:tabs>
      <w:spacing w:before="0" w:after="120"/>
      <w:ind w:left="1800"/>
    </w:pPr>
    <w:rPr>
      <w:snapToGrid w:val="0"/>
    </w:rPr>
  </w:style>
  <w:style w:type="paragraph" w:styleId="ListBullet3">
    <w:name w:val="List Bullet 3"/>
    <w:basedOn w:val="ListBullet"/>
    <w:autoRedefine/>
    <w:pPr>
      <w:numPr>
        <w:ilvl w:val="1"/>
        <w:numId w:val="4"/>
      </w:numPr>
      <w:suppressLineNumbers/>
      <w:tabs>
        <w:tab w:val="clear" w:pos="1098"/>
        <w:tab w:val="left" w:pos="1440"/>
      </w:tabs>
      <w:spacing w:before="0" w:after="120"/>
      <w:ind w:left="1440"/>
    </w:pPr>
    <w:rPr>
      <w:snapToGrid w:val="0"/>
    </w:rPr>
  </w:style>
  <w:style w:type="paragraph" w:styleId="ListBullet5">
    <w:name w:val="List Bullet 5"/>
    <w:basedOn w:val="ListBullet"/>
    <w:autoRedefine/>
    <w:pPr>
      <w:keepNext/>
      <w:numPr>
        <w:numId w:val="6"/>
      </w:numPr>
      <w:suppressLineNumbers/>
      <w:tabs>
        <w:tab w:val="clear" w:pos="360"/>
      </w:tabs>
      <w:spacing w:before="0" w:after="120"/>
      <w:ind w:left="2520"/>
    </w:pPr>
    <w:rPr>
      <w:b/>
      <w:snapToGrid w:val="0"/>
      <w:sz w:val="18"/>
    </w:rPr>
  </w:style>
  <w:style w:type="paragraph" w:customStyle="1" w:styleId="Appendix1">
    <w:name w:val="Appendix 1"/>
    <w:basedOn w:val="Normal"/>
    <w:next w:val="BodyText"/>
    <w:pPr>
      <w:tabs>
        <w:tab w:val="left" w:pos="360"/>
      </w:tabs>
      <w:outlineLvl w:val="0"/>
    </w:pPr>
    <w:rPr>
      <w:rFonts w:ascii="Arial" w:hAnsi="Arial"/>
      <w:b/>
      <w:kern w:val="36"/>
      <w:sz w:val="28"/>
    </w:rPr>
  </w:style>
  <w:style w:type="paragraph" w:customStyle="1" w:styleId="Appendix2">
    <w:name w:val="Appendix 2"/>
    <w:basedOn w:val="Normal"/>
    <w:next w:val="BodyText"/>
    <w:pPr>
      <w:numPr>
        <w:ilvl w:val="1"/>
        <w:numId w:val="11"/>
      </w:numPr>
      <w:tabs>
        <w:tab w:val="left" w:pos="792"/>
      </w:tabs>
      <w:spacing w:after="60"/>
      <w:outlineLvl w:val="1"/>
    </w:pPr>
    <w:rPr>
      <w:rFonts w:ascii="Arial" w:hAnsi="Arial"/>
      <w:b/>
      <w:sz w:val="24"/>
    </w:rPr>
  </w:style>
  <w:style w:type="paragraph" w:customStyle="1" w:styleId="Appendix3">
    <w:name w:val="Appendix 3"/>
    <w:basedOn w:val="Normal"/>
    <w:next w:val="BodyText"/>
    <w:pPr>
      <w:numPr>
        <w:ilvl w:val="2"/>
        <w:numId w:val="11"/>
      </w:numPr>
      <w:tabs>
        <w:tab w:val="left" w:pos="792"/>
      </w:tabs>
      <w:spacing w:before="60" w:after="60"/>
      <w:outlineLvl w:val="2"/>
    </w:pPr>
    <w:rPr>
      <w:rFonts w:ascii="Arial" w:hAnsi="Arial"/>
      <w:b/>
      <w:i/>
      <w:sz w:val="24"/>
    </w:rPr>
  </w:style>
  <w:style w:type="paragraph" w:customStyle="1" w:styleId="Appendix4">
    <w:name w:val="Appendix 4"/>
    <w:basedOn w:val="Normal"/>
    <w:next w:val="BodyText"/>
    <w:pPr>
      <w:numPr>
        <w:ilvl w:val="3"/>
        <w:numId w:val="11"/>
      </w:numPr>
      <w:spacing w:before="60" w:after="60"/>
      <w:outlineLvl w:val="3"/>
    </w:pPr>
    <w:rPr>
      <w:rFonts w:ascii="Arial" w:hAnsi="Arial"/>
      <w:sz w:val="24"/>
    </w:rPr>
  </w:style>
  <w:style w:type="paragraph" w:customStyle="1" w:styleId="Appendix5">
    <w:name w:val="Appendix 5"/>
    <w:basedOn w:val="Normal"/>
    <w:next w:val="BodyText"/>
    <w:pPr>
      <w:numPr>
        <w:ilvl w:val="4"/>
        <w:numId w:val="11"/>
      </w:numPr>
      <w:spacing w:before="60" w:after="60"/>
      <w:outlineLvl w:val="4"/>
    </w:pPr>
    <w:rPr>
      <w:rFonts w:ascii="Arial Black" w:hAnsi="Arial Black"/>
      <w:sz w:val="18"/>
    </w:rPr>
  </w:style>
  <w:style w:type="paragraph" w:customStyle="1" w:styleId="Appendix6">
    <w:name w:val="Appendix 6"/>
    <w:basedOn w:val="Normal"/>
    <w:next w:val="BodyText"/>
    <w:pPr>
      <w:numPr>
        <w:ilvl w:val="5"/>
        <w:numId w:val="11"/>
      </w:numPr>
      <w:spacing w:before="60" w:after="40"/>
      <w:outlineLvl w:val="5"/>
    </w:pPr>
    <w:rPr>
      <w:rFonts w:ascii="Arial" w:hAnsi="Arial"/>
      <w:b/>
      <w:i/>
      <w:sz w:val="18"/>
    </w:rPr>
  </w:style>
  <w:style w:type="paragraph" w:customStyle="1" w:styleId="Task">
    <w:name w:val="Task"/>
    <w:basedOn w:val="Heading5"/>
    <w:pPr>
      <w:numPr>
        <w:ilvl w:val="0"/>
        <w:numId w:val="7"/>
      </w:numPr>
      <w:tabs>
        <w:tab w:val="clear" w:pos="720"/>
      </w:tabs>
      <w:spacing w:before="60" w:after="40"/>
      <w:ind w:left="1800"/>
      <w:jc w:val="left"/>
    </w:pPr>
    <w:rPr>
      <w:rFonts w:ascii="Arial Black" w:hAnsi="Arial Black"/>
      <w:b w:val="0"/>
      <w:sz w:val="18"/>
    </w:rPr>
  </w:style>
  <w:style w:type="character" w:styleId="FootnoteReference">
    <w:name w:val="footnote reference"/>
    <w:uiPriority w:val="99"/>
    <w:rPr>
      <w:vertAlign w:val="superscript"/>
    </w:rPr>
  </w:style>
  <w:style w:type="paragraph" w:styleId="FootnoteText">
    <w:name w:val="footnote text"/>
    <w:aliases w:val="Footnote Text Char1,Footnote Text Char Char,Footnote Text Char1...,Footnote Text Char2,Footnote Text Char1 Char Char,Footnote Text Char Char Char Char,Footnote Text Char1 Char Char Char Char,Footnote Text Char Char Char Char Char Char"/>
    <w:basedOn w:val="Normal"/>
    <w:uiPriority w:val="99"/>
    <w:pPr>
      <w:spacing w:before="80" w:after="80"/>
    </w:pPr>
    <w:rPr>
      <w:sz w:val="16"/>
    </w:rPr>
  </w:style>
  <w:style w:type="paragraph" w:styleId="NormalWeb">
    <w:name w:val="Normal (Web)"/>
    <w:basedOn w:val="Normal"/>
    <w:pPr>
      <w:spacing w:before="100" w:beforeAutospacing="1" w:after="100" w:afterAutospacing="1"/>
    </w:pPr>
    <w:rPr>
      <w:color w:val="000000"/>
      <w:sz w:val="24"/>
    </w:rPr>
  </w:style>
  <w:style w:type="paragraph" w:styleId="List2">
    <w:name w:val="List 2"/>
    <w:basedOn w:val="Normal"/>
    <w:pPr>
      <w:spacing w:before="80" w:after="80"/>
      <w:ind w:left="720" w:hanging="360"/>
    </w:pPr>
  </w:style>
  <w:style w:type="paragraph" w:customStyle="1" w:styleId="TitleInsert">
    <w:name w:val="TitleInsert"/>
    <w:basedOn w:val="Title"/>
    <w:autoRedefine/>
    <w:pPr>
      <w:spacing w:before="80" w:after="80"/>
      <w:outlineLvl w:val="9"/>
    </w:pPr>
    <w:rPr>
      <w:rFonts w:ascii="Times New Roman" w:hAnsi="Times New Roman"/>
      <w:kern w:val="0"/>
      <w:sz w:val="24"/>
    </w:rPr>
  </w:style>
  <w:style w:type="paragraph" w:customStyle="1" w:styleId="Figure">
    <w:name w:val="Figure"/>
    <w:basedOn w:val="Normal"/>
    <w:pPr>
      <w:spacing w:before="240" w:after="0"/>
      <w:jc w:val="center"/>
    </w:pPr>
    <w:rPr>
      <w:sz w:val="18"/>
    </w:rPr>
  </w:style>
  <w:style w:type="paragraph" w:customStyle="1" w:styleId="Tasks">
    <w:name w:val="Tasks"/>
    <w:basedOn w:val="Normal"/>
    <w:pPr>
      <w:tabs>
        <w:tab w:val="left" w:pos="1440"/>
      </w:tabs>
      <w:spacing w:after="0"/>
      <w:ind w:left="1440" w:hanging="1440"/>
    </w:pPr>
    <w:rPr>
      <w:b/>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rPr>
      <w:color w:val="800080"/>
      <w:u w:val="single"/>
    </w:rPr>
  </w:style>
  <w:style w:type="character" w:styleId="Emphasis">
    <w:name w:val="Emphasis"/>
    <w:qFormat/>
    <w:rPr>
      <w:i/>
    </w:rPr>
  </w:style>
  <w:style w:type="paragraph" w:customStyle="1" w:styleId="Terms">
    <w:name w:val="Term(s)"/>
    <w:basedOn w:val="Normal"/>
    <w:next w:val="Normal"/>
    <w:pPr>
      <w:keepNext/>
      <w:suppressAutoHyphens/>
      <w:overflowPunct w:val="0"/>
      <w:autoSpaceDE w:val="0"/>
      <w:autoSpaceDN w:val="0"/>
      <w:adjustRightInd w:val="0"/>
      <w:spacing w:before="0" w:after="0"/>
      <w:textAlignment w:val="baseline"/>
    </w:pPr>
    <w:rPr>
      <w:b/>
      <w:sz w:val="24"/>
    </w:rPr>
  </w:style>
  <w:style w:type="character" w:styleId="CommentReference">
    <w:name w:val="annotation reference"/>
    <w:uiPriority w:val="99"/>
    <w:rPr>
      <w:sz w:val="16"/>
    </w:rPr>
  </w:style>
  <w:style w:type="paragraph" w:styleId="CommentText">
    <w:name w:val="annotation text"/>
    <w:basedOn w:val="Normal"/>
    <w:link w:val="CommentTextChar"/>
    <w:uiPriority w:val="99"/>
  </w:style>
  <w:style w:type="paragraph" w:styleId="TableofFigures">
    <w:name w:val="table of figures"/>
    <w:basedOn w:val="Normal"/>
    <w:next w:val="Normal"/>
    <w:uiPriority w:val="99"/>
    <w:pPr>
      <w:ind w:left="400" w:hanging="400"/>
    </w:pPr>
  </w:style>
  <w:style w:type="character" w:customStyle="1" w:styleId="title1">
    <w:name w:val="title1"/>
    <w:basedOn w:val="DefaultParagraphFont"/>
  </w:style>
  <w:style w:type="character" w:styleId="HTMLCode">
    <w:name w:val="HTML Code"/>
    <w:rPr>
      <w:rFonts w:ascii="Courier" w:eastAsia="Arial Unicode MS" w:hAnsi="Courier" w:hint="default"/>
      <w:sz w:val="22"/>
    </w:rPr>
  </w:style>
  <w:style w:type="paragraph" w:styleId="BodyTextIndent2">
    <w:name w:val="Body Text Indent 2"/>
    <w:basedOn w:val="Normal"/>
    <w:pPr>
      <w:ind w:left="720"/>
    </w:pPr>
    <w:rPr>
      <w:i/>
    </w:rPr>
  </w:style>
  <w:style w:type="paragraph" w:customStyle="1" w:styleId="Heading1NoNumberNoTOC">
    <w:name w:val="Heading1NoNumberNoTOC"/>
    <w:basedOn w:val="Normal"/>
    <w:pPr>
      <w:keepNext/>
      <w:spacing w:before="240" w:after="60"/>
      <w:jc w:val="both"/>
      <w:outlineLvl w:val="0"/>
    </w:pPr>
    <w:rPr>
      <w:rFonts w:ascii="Arial" w:hAnsi="Arial"/>
      <w:b/>
      <w:kern w:val="28"/>
      <w:sz w:val="28"/>
    </w:rPr>
  </w:style>
  <w:style w:type="paragraph" w:customStyle="1" w:styleId="noemal">
    <w:name w:val="noemal"/>
    <w:basedOn w:val="Heading4"/>
  </w:style>
  <w:style w:type="paragraph" w:styleId="ListNumber4">
    <w:name w:val="List Number 4"/>
    <w:basedOn w:val="Normal"/>
    <w:pPr>
      <w:tabs>
        <w:tab w:val="left" w:pos="1600"/>
      </w:tabs>
      <w:spacing w:before="0" w:after="240"/>
      <w:ind w:left="1600" w:hanging="400"/>
    </w:pPr>
    <w:rPr>
      <w:sz w:val="24"/>
    </w:rPr>
  </w:style>
  <w:style w:type="paragraph" w:styleId="ListContinue2">
    <w:name w:val="List Continue 2"/>
    <w:aliases w:val="list-2"/>
    <w:basedOn w:val="ListContinue"/>
    <w:pPr>
      <w:numPr>
        <w:numId w:val="5"/>
      </w:numPr>
      <w:spacing w:before="0" w:after="240"/>
      <w:ind w:left="720"/>
    </w:pPr>
    <w:rPr>
      <w:sz w:val="24"/>
    </w:rPr>
  </w:style>
  <w:style w:type="paragraph" w:styleId="ListContinue">
    <w:name w:val="List Continue"/>
    <w:basedOn w:val="Normal"/>
    <w:pPr>
      <w:ind w:left="360"/>
    </w:pPr>
  </w:style>
  <w:style w:type="paragraph" w:customStyle="1" w:styleId="Paragraph">
    <w:name w:val="Paragraph"/>
    <w:basedOn w:val="Normal"/>
    <w:pPr>
      <w:spacing w:before="40" w:after="80"/>
    </w:pPr>
    <w:rPr>
      <w:rFonts w:ascii="Tahoma" w:hAnsi="Tahoma"/>
      <w:sz w:val="24"/>
    </w:rPr>
  </w:style>
  <w:style w:type="paragraph" w:styleId="BodyTextIndent3">
    <w:name w:val="Body Text Indent 3"/>
    <w:basedOn w:val="Normal"/>
    <w:pPr>
      <w:ind w:left="720"/>
    </w:pPr>
  </w:style>
  <w:style w:type="character" w:styleId="Strong">
    <w:name w:val="Strong"/>
    <w:qFormat/>
    <w:rPr>
      <w:b/>
    </w:rPr>
  </w:style>
  <w:style w:type="paragraph" w:customStyle="1" w:styleId="Bullet">
    <w:name w:val="Bullet"/>
    <w:basedOn w:val="Normal"/>
    <w:pPr>
      <w:spacing w:before="60" w:after="0"/>
    </w:pPr>
    <w:rPr>
      <w:sz w:val="24"/>
    </w:rPr>
  </w:style>
  <w:style w:type="paragraph" w:customStyle="1" w:styleId="Default">
    <w:name w:val="Default"/>
    <w:pPr>
      <w:autoSpaceDE w:val="0"/>
      <w:autoSpaceDN w:val="0"/>
      <w:adjustRightInd w:val="0"/>
    </w:pPr>
    <w:rPr>
      <w:rFonts w:ascii="TimesNewRoman" w:hAnsi="TimesNewRoman"/>
      <w:noProof/>
    </w:rPr>
  </w:style>
  <w:style w:type="paragraph" w:customStyle="1" w:styleId="zzCover">
    <w:name w:val="zzCover"/>
    <w:basedOn w:val="Default"/>
    <w:next w:val="Default"/>
    <w:pPr>
      <w:spacing w:after="220"/>
    </w:pPr>
    <w:rPr>
      <w:rFonts w:ascii="TimesNewRoman,Bold" w:hAnsi="TimesNewRoman,Bold"/>
      <w:sz w:val="24"/>
    </w:rPr>
  </w:style>
  <w:style w:type="paragraph" w:styleId="List4">
    <w:name w:val="List 4"/>
    <w:basedOn w:val="Normal"/>
    <w:pPr>
      <w:ind w:left="1440" w:hanging="360"/>
    </w:pPr>
  </w:style>
  <w:style w:type="paragraph" w:customStyle="1" w:styleId="FlowChartNormal">
    <w:name w:val="Flow Chart Normal"/>
    <w:basedOn w:val="Normal"/>
    <w:pPr>
      <w:spacing w:before="80" w:after="80"/>
      <w:ind w:firstLine="720"/>
      <w:jc w:val="center"/>
    </w:pPr>
    <w:rPr>
      <w:sz w:val="24"/>
    </w:rPr>
  </w:style>
  <w:style w:type="paragraph" w:customStyle="1" w:styleId="Tabletext10">
    <w:name w:val="Table text (10)"/>
    <w:basedOn w:val="Normal"/>
    <w:pPr>
      <w:spacing w:before="60" w:after="60" w:line="230" w:lineRule="atLeast"/>
      <w:jc w:val="both"/>
    </w:pPr>
    <w:rPr>
      <w:rFonts w:ascii="Arial" w:eastAsia="MS Mincho" w:hAnsi="Arial"/>
    </w:rPr>
  </w:style>
  <w:style w:type="paragraph" w:customStyle="1" w:styleId="Definition">
    <w:name w:val="Definition"/>
    <w:basedOn w:val="Normal"/>
    <w:next w:val="Normal"/>
    <w:pPr>
      <w:spacing w:before="0" w:after="240"/>
    </w:pPr>
    <w:rPr>
      <w:sz w:val="24"/>
    </w:rPr>
  </w:style>
  <w:style w:type="paragraph" w:styleId="PlainText">
    <w:name w:val="Plain Text"/>
    <w:basedOn w:val="Normal"/>
    <w:pPr>
      <w:spacing w:before="0" w:after="0"/>
    </w:pPr>
    <w:rPr>
      <w:rFonts w:ascii="Courier New" w:hAnsi="Courier New"/>
    </w:rPr>
  </w:style>
  <w:style w:type="paragraph" w:customStyle="1" w:styleId="Figuretitle">
    <w:name w:val="Figure title"/>
    <w:basedOn w:val="Normal"/>
    <w:next w:val="Normal"/>
    <w:pPr>
      <w:suppressAutoHyphens/>
      <w:spacing w:before="220" w:after="220" w:line="230" w:lineRule="atLeast"/>
      <w:jc w:val="center"/>
    </w:pPr>
    <w:rPr>
      <w:rFonts w:ascii="Arial" w:hAnsi="Arial"/>
      <w:b/>
    </w:rPr>
  </w:style>
  <w:style w:type="paragraph" w:styleId="BalloonText">
    <w:name w:val="Balloon Text"/>
    <w:basedOn w:val="Normal"/>
    <w:semiHidden/>
    <w:rPr>
      <w:rFonts w:ascii="Tahoma" w:hAnsi="Tahoma"/>
      <w:sz w:val="16"/>
    </w:rPr>
  </w:style>
  <w:style w:type="paragraph" w:styleId="CommentSubject">
    <w:name w:val="annotation subject"/>
    <w:basedOn w:val="CommentText"/>
    <w:next w:val="CommentText"/>
    <w:semiHidden/>
    <w:rPr>
      <w:b/>
    </w:rPr>
  </w:style>
  <w:style w:type="paragraph" w:customStyle="1" w:styleId="RefNorm">
    <w:name w:val="RefNorm"/>
    <w:basedOn w:val="Normal"/>
    <w:next w:val="Normal"/>
    <w:pPr>
      <w:spacing w:before="0" w:after="240"/>
    </w:pPr>
    <w:rPr>
      <w:sz w:val="24"/>
    </w:rPr>
  </w:style>
  <w:style w:type="paragraph" w:customStyle="1" w:styleId="zzHelp">
    <w:name w:val="zzHelp"/>
    <w:basedOn w:val="Normal"/>
    <w:pPr>
      <w:spacing w:before="0" w:after="240"/>
    </w:pPr>
    <w:rPr>
      <w:color w:val="008000"/>
      <w:sz w:val="24"/>
    </w:rPr>
  </w:style>
  <w:style w:type="paragraph" w:styleId="ListNumber3">
    <w:name w:val="List Number 3"/>
    <w:basedOn w:val="Normal"/>
    <w:pPr>
      <w:numPr>
        <w:numId w:val="13"/>
      </w:numPr>
      <w:tabs>
        <w:tab w:val="clear" w:pos="1800"/>
        <w:tab w:val="left" w:pos="1080"/>
        <w:tab w:val="num" w:pos="1520"/>
      </w:tabs>
      <w:spacing w:before="0" w:after="240"/>
      <w:ind w:left="1080"/>
    </w:pPr>
    <w:rPr>
      <w:sz w:val="24"/>
    </w:rPr>
  </w:style>
  <w:style w:type="character" w:customStyle="1" w:styleId="CaptionChar1">
    <w:name w:val="Caption Char1"/>
    <w:aliases w:val="Caption Char Char,Caption Char1 Char Char,Caption Char Char Char Char,Caption Char1 Char1,Caption Char Char Char1"/>
    <w:rPr>
      <w:rFonts w:eastAsia="MS Mincho"/>
      <w:b/>
      <w:sz w:val="24"/>
    </w:rPr>
  </w:style>
  <w:style w:type="paragraph" w:styleId="ListContinue3">
    <w:name w:val="List Continue 3"/>
    <w:basedOn w:val="Normal"/>
    <w:pPr>
      <w:ind w:left="1080"/>
    </w:pPr>
  </w:style>
  <w:style w:type="paragraph" w:customStyle="1" w:styleId="TableBullet">
    <w:name w:val="Table Bullet"/>
    <w:basedOn w:val="Normal"/>
    <w:pPr>
      <w:numPr>
        <w:numId w:val="2"/>
      </w:numPr>
      <w:spacing w:before="0"/>
    </w:pPr>
    <w:rPr>
      <w:rFonts w:ascii="Book Antiqua" w:hAnsi="Book Antiqua"/>
      <w:color w:val="000000"/>
      <w:sz w:val="24"/>
    </w:rPr>
  </w:style>
  <w:style w:type="paragraph" w:customStyle="1" w:styleId="Table">
    <w:name w:val="Table"/>
    <w:basedOn w:val="Normal"/>
    <w:pPr>
      <w:spacing w:before="0"/>
    </w:pPr>
    <w:rPr>
      <w:rFonts w:ascii="Book Antiqua" w:hAnsi="Book Antiqua"/>
      <w:color w:val="000000"/>
      <w:sz w:val="24"/>
    </w:rPr>
  </w:style>
  <w:style w:type="character" w:customStyle="1" w:styleId="BodyCharCharCharCharCharCharCharCharCharCharCharCharCharCharCharCharChar1">
    <w:name w:val="Body Char Char Char Char Char Char Char Char Char Char Char Char Char Char Char Char Char1"/>
    <w:rPr>
      <w:rFonts w:ascii="Arial" w:eastAsia="Times" w:hAnsi="Arial"/>
      <w:sz w:val="24"/>
    </w:rPr>
  </w:style>
  <w:style w:type="character" w:customStyle="1" w:styleId="quoted1">
    <w:name w:val="quoted1"/>
    <w:basedOn w:val="DefaultParagraphFont"/>
  </w:style>
  <w:style w:type="character" w:customStyle="1" w:styleId="BodyCharCharCharCharCharCharCharCharCharCharCharJustifiedLaChar">
    <w:name w:val="Body Char Char Char Char Char Char Char Char Char Char Char + Justified + (La... Char"/>
    <w:rPr>
      <w:rFonts w:ascii="TimesNewRoman" w:eastAsia="Times" w:hAnsi="TimesNewRoman"/>
      <w:sz w:val="21"/>
    </w:rPr>
  </w:style>
  <w:style w:type="character" w:customStyle="1" w:styleId="CaptionCharChar1">
    <w:name w:val="Caption Char Char1"/>
    <w:aliases w:val="Caption Char1 Char Char1,Caption Char Char Char Char1,Caption Char Char1 Char Char Char,Caption ... Char"/>
    <w:rPr>
      <w:rFonts w:ascii="Arial" w:hAnsi="Arial"/>
      <w:b/>
    </w:rPr>
  </w:style>
  <w:style w:type="paragraph" w:customStyle="1" w:styleId="BibliographyEntry">
    <w:name w:val="Bibliography Entry"/>
    <w:basedOn w:val="Default"/>
    <w:next w:val="Default"/>
    <w:pPr>
      <w:spacing w:before="20" w:after="260"/>
    </w:pPr>
    <w:rPr>
      <w:rFonts w:ascii="Times New Roman" w:eastAsia="MS Mincho" w:hAnsi="Times New Roman"/>
      <w:sz w:val="24"/>
    </w:rPr>
  </w:style>
  <w:style w:type="character" w:customStyle="1" w:styleId="FootnoteTextChar">
    <w:name w:val="Footnote Text Char"/>
    <w:basedOn w:val="DefaultParagraphFont"/>
    <w:uiPriority w:val="99"/>
  </w:style>
  <w:style w:type="character" w:customStyle="1" w:styleId="FootnoteTextChar1Char">
    <w:name w:val="Footnote Text Char1 Char"/>
    <w:aliases w:val="Footnote Text Char Char Char,Footnote Text Char1... Char,Footnote Text Char2 Char,Footnote Text Char1 Char Char Char,Footnote Text Char Char Char Char Char,Footnote Text Char1 Char Char Char Char Char"/>
    <w:rPr>
      <w:sz w:val="16"/>
    </w:rPr>
  </w:style>
  <w:style w:type="paragraph" w:customStyle="1" w:styleId="Heading2NoNumber">
    <w:name w:val="Heading2NoNumber"/>
    <w:basedOn w:val="Heading2"/>
    <w:pPr>
      <w:numPr>
        <w:ilvl w:val="0"/>
        <w:numId w:val="0"/>
      </w:numPr>
      <w:tabs>
        <w:tab w:val="clear" w:pos="720"/>
      </w:tabs>
      <w:spacing w:before="240"/>
    </w:pPr>
    <w:rPr>
      <w:i/>
    </w:rPr>
  </w:style>
  <w:style w:type="paragraph" w:styleId="List">
    <w:name w:val="List"/>
    <w:basedOn w:val="Normal"/>
    <w:pPr>
      <w:spacing w:before="80" w:after="80"/>
      <w:ind w:left="360" w:hanging="360"/>
    </w:pPr>
  </w:style>
  <w:style w:type="paragraph" w:styleId="List3">
    <w:name w:val="List 3"/>
    <w:basedOn w:val="Normal"/>
    <w:pPr>
      <w:spacing w:before="80" w:after="80"/>
      <w:ind w:left="1080" w:hanging="360"/>
    </w:pPr>
  </w:style>
  <w:style w:type="paragraph" w:customStyle="1" w:styleId="TOCHeading">
    <w:name w:val="TOCHeading"/>
    <w:pPr>
      <w:spacing w:before="120" w:after="240"/>
    </w:pPr>
    <w:rPr>
      <w:rFonts w:ascii="Arial" w:hAnsi="Arial"/>
      <w:b/>
      <w:noProof/>
      <w:sz w:val="28"/>
    </w:rPr>
  </w:style>
  <w:style w:type="paragraph" w:customStyle="1" w:styleId="Code">
    <w:name w:val="Code"/>
    <w:basedOn w:val="Normal"/>
    <w:pPr>
      <w:pBdr>
        <w:top w:val="single" w:sz="4" w:space="1" w:color="auto"/>
        <w:left w:val="single" w:sz="4" w:space="4" w:color="auto"/>
        <w:bottom w:val="single" w:sz="4" w:space="1" w:color="auto"/>
        <w:right w:val="single" w:sz="4" w:space="4" w:color="auto"/>
      </w:pBdr>
      <w:tabs>
        <w:tab w:val="left" w:pos="360"/>
        <w:tab w:val="left" w:pos="720"/>
        <w:tab w:val="left" w:pos="1080"/>
        <w:tab w:val="left" w:pos="1440"/>
        <w:tab w:val="left" w:pos="1800"/>
      </w:tabs>
      <w:spacing w:before="0" w:after="0"/>
    </w:pPr>
    <w:rPr>
      <w:rFonts w:ascii="Courier New" w:hAnsi="Courier New"/>
      <w:snapToGrid w:val="0"/>
      <w:sz w:val="18"/>
    </w:rPr>
  </w:style>
  <w:style w:type="paragraph" w:customStyle="1" w:styleId="Appendix20">
    <w:name w:val="Appendix2"/>
    <w:basedOn w:val="Normal"/>
    <w:pPr>
      <w:spacing w:after="240"/>
    </w:pPr>
    <w:rPr>
      <w:rFonts w:ascii="Arial" w:hAnsi="Arial"/>
      <w:b/>
      <w:sz w:val="24"/>
    </w:rPr>
  </w:style>
  <w:style w:type="paragraph" w:customStyle="1" w:styleId="Style1">
    <w:name w:val="Style1"/>
    <w:basedOn w:val="Normal"/>
    <w:pPr>
      <w:pBdr>
        <w:top w:val="single" w:sz="4" w:space="1" w:color="auto"/>
        <w:left w:val="single" w:sz="4" w:space="4" w:color="auto"/>
        <w:bottom w:val="single" w:sz="4" w:space="1" w:color="auto"/>
        <w:right w:val="single" w:sz="4" w:space="4" w:color="auto"/>
      </w:pBdr>
      <w:spacing w:before="0" w:after="0"/>
      <w:jc w:val="center"/>
    </w:pPr>
    <w:rPr>
      <w:rFonts w:ascii="Times" w:eastAsia="Times" w:hAnsi="Times"/>
      <w:sz w:val="24"/>
    </w:rPr>
  </w:style>
  <w:style w:type="paragraph" w:customStyle="1" w:styleId="Heading1NoNumber">
    <w:name w:val="Heading1NoNumber"/>
    <w:basedOn w:val="Heading1"/>
    <w:pPr>
      <w:pageBreakBefore/>
      <w:widowControl w:val="0"/>
      <w:numPr>
        <w:numId w:val="0"/>
      </w:numPr>
      <w:spacing w:before="240" w:after="60"/>
    </w:pPr>
    <w:rPr>
      <w:kern w:val="28"/>
      <w:sz w:val="32"/>
    </w:rPr>
  </w:style>
  <w:style w:type="paragraph" w:customStyle="1" w:styleId="Heading3NoNumber">
    <w:name w:val="Heading3NoNumber"/>
    <w:basedOn w:val="Heading3"/>
    <w:pPr>
      <w:numPr>
        <w:ilvl w:val="0"/>
        <w:numId w:val="0"/>
      </w:numPr>
      <w:spacing w:before="240"/>
    </w:pPr>
    <w:rPr>
      <w:i w:val="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rPr>
  </w:style>
  <w:style w:type="paragraph" w:customStyle="1" w:styleId="Policy">
    <w:name w:val="Policy"/>
    <w:basedOn w:val="Heading3"/>
    <w:pPr>
      <w:keepNext w:val="0"/>
      <w:numPr>
        <w:numId w:val="3"/>
      </w:numPr>
      <w:spacing w:before="80" w:after="80"/>
    </w:pPr>
    <w:rPr>
      <w:rFonts w:ascii="Times New Roman" w:hAnsi="Times New Roman"/>
      <w:b w:val="0"/>
      <w:i w:val="0"/>
    </w:rPr>
  </w:style>
  <w:style w:type="paragraph" w:customStyle="1" w:styleId="OGCClause">
    <w:name w:val="OGC Clause"/>
    <w:basedOn w:val="Normal"/>
    <w:next w:val="Normal"/>
    <w:pPr>
      <w:keepNext/>
      <w:tabs>
        <w:tab w:val="num" w:pos="360"/>
        <w:tab w:val="left" w:pos="400"/>
      </w:tabs>
      <w:suppressAutoHyphens/>
      <w:spacing w:before="960" w:after="310"/>
    </w:pPr>
    <w:rPr>
      <w:b/>
      <w:sz w:val="28"/>
    </w:rPr>
  </w:style>
  <w:style w:type="paragraph" w:customStyle="1" w:styleId="OGCtableheader">
    <w:name w:val="OGC table header"/>
    <w:basedOn w:val="BodyTextIndent"/>
    <w:pPr>
      <w:suppressAutoHyphens/>
      <w:spacing w:before="60" w:after="60" w:line="208" w:lineRule="auto"/>
      <w:ind w:left="0"/>
      <w:jc w:val="center"/>
    </w:pPr>
    <w:rPr>
      <w:b/>
      <w:sz w:val="22"/>
    </w:rPr>
  </w:style>
  <w:style w:type="paragraph" w:customStyle="1" w:styleId="OGCtabletext">
    <w:name w:val="OGC table text"/>
    <w:basedOn w:val="OGCtableheader"/>
    <w:pPr>
      <w:jc w:val="left"/>
    </w:pPr>
    <w:rPr>
      <w:b w:val="0"/>
    </w:rPr>
  </w:style>
  <w:style w:type="paragraph" w:customStyle="1" w:styleId="zzCopyright">
    <w:name w:val="zzCopyright"/>
    <w:basedOn w:val="Normal"/>
    <w:next w:val="Normal"/>
    <w:pPr>
      <w:pBdr>
        <w:top w:val="single" w:sz="6" w:space="1" w:color="auto"/>
        <w:left w:val="single" w:sz="6" w:space="4" w:color="auto"/>
        <w:bottom w:val="single" w:sz="6" w:space="1" w:color="auto"/>
        <w:right w:val="single" w:sz="6" w:space="4" w:color="auto"/>
      </w:pBdr>
      <w:tabs>
        <w:tab w:val="left" w:pos="514"/>
        <w:tab w:val="left" w:pos="9623"/>
      </w:tabs>
      <w:spacing w:before="0" w:after="240"/>
      <w:ind w:left="284" w:right="284"/>
    </w:pPr>
    <w:rPr>
      <w:color w:val="0000FF"/>
      <w:sz w:val="24"/>
    </w:rPr>
  </w:style>
  <w:style w:type="paragraph" w:customStyle="1" w:styleId="Body">
    <w:name w:val="Body"/>
    <w:pPr>
      <w:spacing w:before="120" w:after="120"/>
    </w:pPr>
    <w:rPr>
      <w:rFonts w:ascii="Arial" w:eastAsia="Times" w:hAnsi="Arial"/>
      <w:noProof/>
    </w:rPr>
  </w:style>
  <w:style w:type="paragraph" w:customStyle="1" w:styleId="Heading3ListNumber">
    <w:name w:val="Heading3ListNumber"/>
    <w:basedOn w:val="Heading3"/>
    <w:pPr>
      <w:numPr>
        <w:ilvl w:val="0"/>
        <w:numId w:val="16"/>
      </w:numPr>
      <w:spacing w:before="240"/>
    </w:pPr>
    <w:rPr>
      <w:i w:val="0"/>
      <w:sz w:val="20"/>
    </w:rPr>
  </w:style>
  <w:style w:type="paragraph" w:styleId="HTMLAddress">
    <w:name w:val="HTML Address"/>
    <w:basedOn w:val="z-TopofForm"/>
    <w:pPr>
      <w:pBdr>
        <w:bottom w:val="none" w:sz="0" w:space="0" w:color="auto"/>
      </w:pBdr>
      <w:spacing w:before="0" w:after="0"/>
      <w:jc w:val="left"/>
    </w:pPr>
    <w:rPr>
      <w:rFonts w:ascii="Times New Roman" w:hAnsi="Times New Roman"/>
      <w:vanish w:val="0"/>
      <w:sz w:val="24"/>
    </w:rPr>
  </w:style>
  <w:style w:type="paragraph" w:styleId="z-TopofForm">
    <w:name w:val="HTML Top of Form"/>
    <w:basedOn w:val="Normal"/>
    <w:next w:val="Normal"/>
    <w:hidden/>
    <w:pPr>
      <w:pBdr>
        <w:bottom w:val="single" w:sz="6" w:space="1" w:color="000000"/>
      </w:pBdr>
      <w:spacing w:before="100" w:after="100"/>
      <w:jc w:val="center"/>
    </w:pPr>
    <w:rPr>
      <w:rFonts w:ascii="Arial" w:hAnsi="Arial"/>
      <w:vanish/>
      <w:sz w:val="16"/>
    </w:rPr>
  </w:style>
  <w:style w:type="character" w:customStyle="1" w:styleId="A1">
    <w:name w:val="A1"/>
    <w:uiPriority w:val="99"/>
    <w:rsid w:val="00D541EB"/>
    <w:rPr>
      <w:rFonts w:cs="Univers 67 Condensed"/>
      <w:b/>
      <w:bCs/>
      <w:color w:val="211D1E"/>
      <w:sz w:val="40"/>
      <w:szCs w:val="40"/>
    </w:rPr>
  </w:style>
  <w:style w:type="paragraph" w:styleId="EndnoteText">
    <w:name w:val="endnote text"/>
    <w:basedOn w:val="Normal"/>
    <w:link w:val="EndnoteTextChar"/>
    <w:uiPriority w:val="99"/>
    <w:unhideWhenUsed/>
    <w:rsid w:val="00DF0298"/>
    <w:pPr>
      <w:spacing w:before="0" w:after="0"/>
    </w:pPr>
    <w:rPr>
      <w:rFonts w:ascii="Cambria" w:eastAsia="MS Mincho" w:hAnsi="Cambria"/>
      <w:noProof w:val="0"/>
      <w:szCs w:val="24"/>
      <w:lang w:val="x-none" w:eastAsia="x-none"/>
    </w:rPr>
  </w:style>
  <w:style w:type="character" w:customStyle="1" w:styleId="EndnoteTextChar">
    <w:name w:val="Endnote Text Char"/>
    <w:link w:val="EndnoteText"/>
    <w:uiPriority w:val="99"/>
    <w:rsid w:val="00DF0298"/>
    <w:rPr>
      <w:rFonts w:ascii="Cambria" w:eastAsia="MS Mincho" w:hAnsi="Cambria"/>
      <w:sz w:val="22"/>
      <w:szCs w:val="24"/>
    </w:rPr>
  </w:style>
  <w:style w:type="paragraph" w:customStyle="1" w:styleId="ColorfulShading-Accent11">
    <w:name w:val="Colorful Shading - Accent 11"/>
    <w:hidden/>
    <w:uiPriority w:val="71"/>
    <w:rsid w:val="00896BD7"/>
    <w:rPr>
      <w:noProof/>
    </w:rPr>
  </w:style>
  <w:style w:type="table" w:styleId="TableGrid">
    <w:name w:val="Table Grid"/>
    <w:basedOn w:val="TableNormal"/>
    <w:uiPriority w:val="59"/>
    <w:rsid w:val="00E03E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Shading-Accent12">
    <w:name w:val="Colorful Shading - Accent 12"/>
    <w:hidden/>
    <w:uiPriority w:val="71"/>
    <w:rsid w:val="00B27214"/>
    <w:rPr>
      <w:noProof/>
    </w:rPr>
  </w:style>
  <w:style w:type="paragraph" w:customStyle="1" w:styleId="Elencoacolori-Colore11">
    <w:name w:val="Elenco a colori - Colore 11"/>
    <w:basedOn w:val="Normal"/>
    <w:uiPriority w:val="34"/>
    <w:qFormat/>
    <w:rsid w:val="00701B1F"/>
    <w:pPr>
      <w:spacing w:before="0" w:after="200" w:line="276" w:lineRule="auto"/>
      <w:ind w:left="720"/>
      <w:contextualSpacing/>
    </w:pPr>
    <w:rPr>
      <w:rFonts w:ascii="Calibri" w:eastAsia="Calibri" w:hAnsi="Calibri"/>
      <w:noProof w:val="0"/>
      <w:szCs w:val="22"/>
    </w:rPr>
  </w:style>
  <w:style w:type="paragraph" w:styleId="Revision">
    <w:name w:val="Revision"/>
    <w:hidden/>
    <w:uiPriority w:val="71"/>
    <w:rsid w:val="002E7453"/>
    <w:rPr>
      <w:noProof/>
    </w:rPr>
  </w:style>
  <w:style w:type="character" w:customStyle="1" w:styleId="CommentTextChar">
    <w:name w:val="Comment Text Char"/>
    <w:link w:val="CommentText"/>
    <w:uiPriority w:val="99"/>
    <w:rsid w:val="0068741D"/>
    <w:rPr>
      <w:noProof/>
    </w:rPr>
  </w:style>
  <w:style w:type="paragraph" w:styleId="ListParagraph">
    <w:name w:val="List Paragraph"/>
    <w:basedOn w:val="Normal"/>
    <w:uiPriority w:val="34"/>
    <w:qFormat/>
    <w:rsid w:val="004B07A8"/>
    <w:pPr>
      <w:spacing w:before="0" w:line="276" w:lineRule="auto"/>
      <w:ind w:left="720"/>
      <w:contextualSpacing/>
      <w:jc w:val="both"/>
    </w:pPr>
    <w:rPr>
      <w:rFonts w:eastAsia="Calibri"/>
      <w:noProof w:val="0"/>
      <w:szCs w:val="22"/>
    </w:rPr>
  </w:style>
  <w:style w:type="paragraph" w:customStyle="1" w:styleId="InfoBlue">
    <w:name w:val="InfoBlue"/>
    <w:basedOn w:val="Normal"/>
    <w:next w:val="BodyText"/>
    <w:autoRedefine/>
    <w:rsid w:val="00E033BC"/>
    <w:pPr>
      <w:widowControl w:val="0"/>
      <w:spacing w:before="0" w:line="240" w:lineRule="atLeast"/>
      <w:ind w:left="630" w:hanging="630"/>
      <w:jc w:val="both"/>
      <w:outlineLvl w:val="3"/>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329373">
      <w:bodyDiv w:val="1"/>
      <w:marLeft w:val="0"/>
      <w:marRight w:val="0"/>
      <w:marTop w:val="0"/>
      <w:marBottom w:val="0"/>
      <w:divBdr>
        <w:top w:val="none" w:sz="0" w:space="0" w:color="auto"/>
        <w:left w:val="none" w:sz="0" w:space="0" w:color="auto"/>
        <w:bottom w:val="none" w:sz="0" w:space="0" w:color="auto"/>
        <w:right w:val="none" w:sz="0" w:space="0" w:color="auto"/>
      </w:divBdr>
      <w:divsChild>
        <w:div w:id="647396295">
          <w:marLeft w:val="1166"/>
          <w:marRight w:val="0"/>
          <w:marTop w:val="115"/>
          <w:marBottom w:val="0"/>
          <w:divBdr>
            <w:top w:val="none" w:sz="0" w:space="0" w:color="auto"/>
            <w:left w:val="none" w:sz="0" w:space="0" w:color="auto"/>
            <w:bottom w:val="none" w:sz="0" w:space="0" w:color="auto"/>
            <w:right w:val="none" w:sz="0" w:space="0" w:color="auto"/>
          </w:divBdr>
        </w:div>
      </w:divsChild>
    </w:div>
    <w:div w:id="1096250402">
      <w:bodyDiv w:val="1"/>
      <w:marLeft w:val="0"/>
      <w:marRight w:val="0"/>
      <w:marTop w:val="0"/>
      <w:marBottom w:val="0"/>
      <w:divBdr>
        <w:top w:val="none" w:sz="0" w:space="0" w:color="auto"/>
        <w:left w:val="none" w:sz="0" w:space="0" w:color="auto"/>
        <w:bottom w:val="none" w:sz="0" w:space="0" w:color="auto"/>
        <w:right w:val="none" w:sz="0" w:space="0" w:color="auto"/>
      </w:divBdr>
    </w:div>
    <w:div w:id="1104690698">
      <w:bodyDiv w:val="1"/>
      <w:marLeft w:val="0"/>
      <w:marRight w:val="0"/>
      <w:marTop w:val="0"/>
      <w:marBottom w:val="0"/>
      <w:divBdr>
        <w:top w:val="none" w:sz="0" w:space="0" w:color="auto"/>
        <w:left w:val="none" w:sz="0" w:space="0" w:color="auto"/>
        <w:bottom w:val="none" w:sz="0" w:space="0" w:color="auto"/>
        <w:right w:val="none" w:sz="0" w:space="0" w:color="auto"/>
      </w:divBdr>
    </w:div>
    <w:div w:id="1307275634">
      <w:bodyDiv w:val="1"/>
      <w:marLeft w:val="0"/>
      <w:marRight w:val="0"/>
      <w:marTop w:val="0"/>
      <w:marBottom w:val="0"/>
      <w:divBdr>
        <w:top w:val="none" w:sz="0" w:space="0" w:color="auto"/>
        <w:left w:val="none" w:sz="0" w:space="0" w:color="auto"/>
        <w:bottom w:val="none" w:sz="0" w:space="0" w:color="auto"/>
        <w:right w:val="none" w:sz="0" w:space="0" w:color="auto"/>
      </w:divBdr>
    </w:div>
    <w:div w:id="1653408206">
      <w:bodyDiv w:val="1"/>
      <w:marLeft w:val="0"/>
      <w:marRight w:val="0"/>
      <w:marTop w:val="0"/>
      <w:marBottom w:val="0"/>
      <w:divBdr>
        <w:top w:val="none" w:sz="0" w:space="0" w:color="auto"/>
        <w:left w:val="none" w:sz="0" w:space="0" w:color="auto"/>
        <w:bottom w:val="none" w:sz="0" w:space="0" w:color="auto"/>
        <w:right w:val="none" w:sz="0" w:space="0" w:color="auto"/>
      </w:divBdr>
      <w:divsChild>
        <w:div w:id="1930502502">
          <w:marLeft w:val="374"/>
          <w:marRight w:val="0"/>
          <w:marTop w:val="77"/>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opengeospatial.org/ogc/programs/ip" TargetMode="External"/><Relationship Id="rId14" Type="http://schemas.openxmlformats.org/officeDocument/2006/relationships/hyperlink" Target="http://www.opengeospatial.org/ogc/policies/ippp" TargetMode="External"/><Relationship Id="rId15" Type="http://schemas.openxmlformats.org/officeDocument/2006/relationships/image" Target="media/image1.emf"/><Relationship Id="rId16" Type="http://schemas.openxmlformats.org/officeDocument/2006/relationships/hyperlink" Target="http://www.opengeospatial.org/standards/gml" TargetMode="External"/><Relationship Id="rId17" Type="http://schemas.openxmlformats.org/officeDocument/2006/relationships/hyperlink" Target="http://www.opengeospatial.org/standards/om" TargetMode="External"/><Relationship Id="rId18" Type="http://schemas.openxmlformats.org/officeDocument/2006/relationships/hyperlink" Target="http://www.opengeospatial.org/standards/sensorml" TargetMode="External"/><Relationship Id="rId19" Type="http://schemas.openxmlformats.org/officeDocument/2006/relationships/hyperlink" Target="http://www.opengeospatial.org/standards/owc" TargetMode="External"/><Relationship Id="rId63" Type="http://schemas.openxmlformats.org/officeDocument/2006/relationships/hyperlink" Target="http://www.isotc211.org/protdoc/DIS/ISO_DIS_19115_%28E%29.pdf" TargetMode="External"/><Relationship Id="rId64" Type="http://schemas.openxmlformats.org/officeDocument/2006/relationships/hyperlink" Target="http://www.isotc211.org/protdoc/DIS/ISO_DIS_19119_%28E%29.pdf" TargetMode="External"/><Relationship Id="rId65" Type="http://schemas.openxmlformats.org/officeDocument/2006/relationships/hyperlink" Target="http://www.isotc211.org/protdoc/DIS/DIS19125-1.pdf" TargetMode="External"/><Relationship Id="rId66" Type="http://schemas.openxmlformats.org/officeDocument/2006/relationships/hyperlink" Target="http://www.isotc211.org/protdoc/DIS/DIS19125-2.pdf" TargetMode="External"/><Relationship Id="rId67" Type="http://schemas.openxmlformats.org/officeDocument/2006/relationships/hyperlink" Target="http://www.ietf.org/rfc/rfc2396.txt" TargetMode="External"/><Relationship Id="rId68" Type="http://schemas.openxmlformats.org/officeDocument/2006/relationships/hyperlink" Target="http://www.w3.org/TR/2000/REC-xml-20001006" TargetMode="External"/><Relationship Id="rId69" Type="http://schemas.openxmlformats.org/officeDocument/2006/relationships/hyperlink" Target="http://www.w3.org/TR/xmlschema-1/" TargetMode="External"/><Relationship Id="rId50" Type="http://schemas.openxmlformats.org/officeDocument/2006/relationships/hyperlink" Target="http://www.opengeospatial.org/specs/?page=specs" TargetMode="External"/><Relationship Id="rId51" Type="http://schemas.openxmlformats.org/officeDocument/2006/relationships/hyperlink" Target="http://portal.opengeospatial.org/files/?artifact_id=42729" TargetMode="External"/><Relationship Id="rId52" Type="http://schemas.openxmlformats.org/officeDocument/2006/relationships/hyperlink" Target="https://portal.opengeospatial.org/files/?artifact_id=46568" TargetMode="External"/><Relationship Id="rId53" Type="http://schemas.openxmlformats.org/officeDocument/2006/relationships/hyperlink" Target="http://www.opengeospatial.org/specs/?page=specs" TargetMode="External"/><Relationship Id="rId54" Type="http://schemas.openxmlformats.org/officeDocument/2006/relationships/hyperlink" Target="http://www.opengeospatial.org/specs/?page=specs" TargetMode="External"/><Relationship Id="rId55" Type="http://schemas.openxmlformats.org/officeDocument/2006/relationships/hyperlink" Target="http://www.opengeospatial.org/specs/?page=specs" TargetMode="External"/><Relationship Id="rId56" Type="http://schemas.openxmlformats.org/officeDocument/2006/relationships/hyperlink" Target="http://www.opengeospatial.org/techno/abstract/02-112.pdf" TargetMode="External"/><Relationship Id="rId57" Type="http://schemas.openxmlformats.org/officeDocument/2006/relationships/hyperlink" Target="http://www.opengeospatial.org/resources/?page=cookbooks" TargetMode="External"/><Relationship Id="rId58" Type="http://schemas.openxmlformats.org/officeDocument/2006/relationships/hyperlink" Target="http://www.opengeospatial.org/ogc/policies/ippp" TargetMode="External"/><Relationship Id="rId59" Type="http://schemas.openxmlformats.org/officeDocument/2006/relationships/hyperlink" Target="http://webstore.ansi.org/ansidocstore/product.asp?sku=ISO+19101:2002" TargetMode="External"/><Relationship Id="rId40" Type="http://schemas.openxmlformats.org/officeDocument/2006/relationships/hyperlink" Target="http://www.opensearch.org/Home" TargetMode="External"/><Relationship Id="rId41" Type="http://schemas.openxmlformats.org/officeDocument/2006/relationships/hyperlink" Target="http://www.opengeospatial.org/standards/wps" TargetMode="External"/><Relationship Id="rId42" Type="http://schemas.openxmlformats.org/officeDocument/2006/relationships/hyperlink" Target="http://www.opengeospatial.org/standards/sos" TargetMode="External"/><Relationship Id="rId43" Type="http://schemas.openxmlformats.org/officeDocument/2006/relationships/hyperlink" Target="http://ogc-iot.github.io/ogc-iot-api/index.html" TargetMode="External"/><Relationship Id="rId44" Type="http://schemas.openxmlformats.org/officeDocument/2006/relationships/hyperlink" Target="http://ogc-iot.github.io/ogc-iot-api/datamodel.html" TargetMode="External"/><Relationship Id="rId45" Type="http://schemas.openxmlformats.org/officeDocument/2006/relationships/image" Target="media/image3.png"/><Relationship Id="rId46" Type="http://schemas.openxmlformats.org/officeDocument/2006/relationships/hyperlink" Target="http://www.google.com/url?sa=t&amp;rct=j&amp;q=&amp;esrc=s&amp;source=web&amp;cd=1&amp;cad=rja&amp;uact=8&amp;ved=0CB8QFjAA&amp;url=http%3A%2F%2Fportal.opengeospatial.org%2Ffiles%2F%3Fartifact_id%3D1367&amp;ei=TjIkVaOPG8vOsQTNjoCABg&amp;usg=AFQjCNFytsv9tnD7h2nMyOrKkyO5ULBPkA&amp;sig2=92F6exiz00LtNR2bPEQC0w&amp;bvm=bv.90237346,d.cWc" TargetMode="External"/><Relationship Id="rId47" Type="http://schemas.openxmlformats.org/officeDocument/2006/relationships/hyperlink" Target="http://portal.opengeospatial.org/files/?artifact_id=15588" TargetMode="External"/><Relationship Id="rId48" Type="http://schemas.openxmlformats.org/officeDocument/2006/relationships/image" Target="media/image4.emf"/><Relationship Id="rId49" Type="http://schemas.openxmlformats.org/officeDocument/2006/relationships/hyperlink" Target="http://www.opengeospatial.org/specs/?page=baselin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http://mqtt.org" TargetMode="External"/><Relationship Id="rId31" Type="http://schemas.openxmlformats.org/officeDocument/2006/relationships/hyperlink" Target="http://mqtt.org/new/wp-content/uploads/2009/06/MQTT-SN_spec_v1.2.pdf" TargetMode="External"/><Relationship Id="rId32" Type="http://schemas.openxmlformats.org/officeDocument/2006/relationships/hyperlink" Target="https://tools.ietf.org/html/rfc7252" TargetMode="External"/><Relationship Id="rId33" Type="http://schemas.openxmlformats.org/officeDocument/2006/relationships/hyperlink" Target="http://portals.omg.org/dds/" TargetMode="External"/><Relationship Id="rId34" Type="http://schemas.openxmlformats.org/officeDocument/2006/relationships/hyperlink" Target="http://www.opengeospatial.org/standards/wms" TargetMode="External"/><Relationship Id="rId35" Type="http://schemas.openxmlformats.org/officeDocument/2006/relationships/hyperlink" Target="http://www.opengeospatial.org/standards/wfs" TargetMode="External"/><Relationship Id="rId36" Type="http://schemas.openxmlformats.org/officeDocument/2006/relationships/hyperlink" Target="http://www.opengeospatial.org/standards/wms" TargetMode="External"/><Relationship Id="rId37" Type="http://schemas.openxmlformats.org/officeDocument/2006/relationships/hyperlink" Target="http://www.opengeospatial.org/standards/wfs" TargetMode="External"/><Relationship Id="rId38" Type="http://schemas.openxmlformats.org/officeDocument/2006/relationships/hyperlink" Target="http://www.opengeospatial.org/standards/cat" TargetMode="External"/><Relationship Id="rId39" Type="http://schemas.openxmlformats.org/officeDocument/2006/relationships/hyperlink" Target="http://portal.opengeospatial.org/files/?artifact_id=20555" TargetMode="External"/><Relationship Id="rId70" Type="http://schemas.openxmlformats.org/officeDocument/2006/relationships/hyperlink" Target="http://www.w3.org/TR/xlink/" TargetMode="Externa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hyperlink" Target="http://www.ogcnetwork.net/node/630" TargetMode="External"/><Relationship Id="rId21" Type="http://schemas.openxmlformats.org/officeDocument/2006/relationships/hyperlink" Target="http://geojson.org" TargetMode="External"/><Relationship Id="rId22" Type="http://schemas.openxmlformats.org/officeDocument/2006/relationships/hyperlink" Target="https://datatracker.ietf.org/doc/draft-butler-geojson/" TargetMode="External"/><Relationship Id="rId23" Type="http://schemas.openxmlformats.org/officeDocument/2006/relationships/hyperlink" Target="http://json.org" TargetMode="External"/><Relationship Id="rId24" Type="http://schemas.openxmlformats.org/officeDocument/2006/relationships/hyperlink" Target="http://www.iso.org/iso/iso_catalogue/catalogue_tc/catalogue_detail.htm?csnumber=45261" TargetMode="External"/><Relationship Id="rId25" Type="http://schemas.openxmlformats.org/officeDocument/2006/relationships/image" Target="media/image2.png"/><Relationship Id="rId26" Type="http://schemas.openxmlformats.org/officeDocument/2006/relationships/hyperlink" Target="http://www.zigbee.org" TargetMode="External"/><Relationship Id="rId27" Type="http://schemas.openxmlformats.org/officeDocument/2006/relationships/hyperlink" Target="http://xmpp.org" TargetMode="External"/><Relationship Id="rId28" Type="http://schemas.openxmlformats.org/officeDocument/2006/relationships/hyperlink" Target="http://xmpp.org/xmpp-protocols/xmpp-core/" TargetMode="External"/><Relationship Id="rId29" Type="http://schemas.openxmlformats.org/officeDocument/2006/relationships/hyperlink" Target="http://xmpp.org/extensions/xep-0323.html" TargetMode="External"/><Relationship Id="rId75" Type="http://schemas.microsoft.com/office/2011/relationships/commentsExtended" Target="commentsExtended.xml"/><Relationship Id="rId76" Type="http://schemas.microsoft.com/office/2011/relationships/people" Target="people.xml"/><Relationship Id="rId60" Type="http://schemas.openxmlformats.org/officeDocument/2006/relationships/hyperlink" Target="http://www.isotc211.org/protdoc/DIS/ISO_DIS_19107_%28E%29.pdf" TargetMode="External"/><Relationship Id="rId61" Type="http://schemas.openxmlformats.org/officeDocument/2006/relationships/hyperlink" Target="http://www.isotc211.org/protdoc/DIS/DIS19108.pdf" TargetMode="External"/><Relationship Id="rId62" Type="http://schemas.openxmlformats.org/officeDocument/2006/relationships/hyperlink" Target="http://www.isotc211.org/protdoc/DIS/ISO_DIS_19109_%28E%29.pdf" TargetMode="Externa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3EE0A6-4454-FB4B-B5D8-81EAC6EF5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9309</Words>
  <Characters>53062</Characters>
  <Application>Microsoft Macintosh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CHISP RFQ Annex B - Architecture</vt:lpstr>
    </vt:vector>
  </TitlesOfParts>
  <Company>OGC</Company>
  <LinksUpToDate>false</LinksUpToDate>
  <CharactersWithSpaces>62247</CharactersWithSpaces>
  <SharedDoc>false</SharedDoc>
  <HyperlinkBase/>
  <HLinks>
    <vt:vector size="156" baseType="variant">
      <vt:variant>
        <vt:i4>2555933</vt:i4>
      </vt:variant>
      <vt:variant>
        <vt:i4>177</vt:i4>
      </vt:variant>
      <vt:variant>
        <vt:i4>0</vt:i4>
      </vt:variant>
      <vt:variant>
        <vt:i4>5</vt:i4>
      </vt:variant>
      <vt:variant>
        <vt:lpwstr>http://www.w3.org/TR/xlink/</vt:lpwstr>
      </vt:variant>
      <vt:variant>
        <vt:lpwstr/>
      </vt:variant>
      <vt:variant>
        <vt:i4>2031657</vt:i4>
      </vt:variant>
      <vt:variant>
        <vt:i4>174</vt:i4>
      </vt:variant>
      <vt:variant>
        <vt:i4>0</vt:i4>
      </vt:variant>
      <vt:variant>
        <vt:i4>5</vt:i4>
      </vt:variant>
      <vt:variant>
        <vt:lpwstr>http://www.w3.org/TR/xmlschema-1/</vt:lpwstr>
      </vt:variant>
      <vt:variant>
        <vt:lpwstr/>
      </vt:variant>
      <vt:variant>
        <vt:i4>8257590</vt:i4>
      </vt:variant>
      <vt:variant>
        <vt:i4>171</vt:i4>
      </vt:variant>
      <vt:variant>
        <vt:i4>0</vt:i4>
      </vt:variant>
      <vt:variant>
        <vt:i4>5</vt:i4>
      </vt:variant>
      <vt:variant>
        <vt:lpwstr>http://www.w3.org/TR/2000/REC-xml-20001006</vt:lpwstr>
      </vt:variant>
      <vt:variant>
        <vt:lpwstr/>
      </vt:variant>
      <vt:variant>
        <vt:i4>3604574</vt:i4>
      </vt:variant>
      <vt:variant>
        <vt:i4>168</vt:i4>
      </vt:variant>
      <vt:variant>
        <vt:i4>0</vt:i4>
      </vt:variant>
      <vt:variant>
        <vt:i4>5</vt:i4>
      </vt:variant>
      <vt:variant>
        <vt:lpwstr>http://www.ietf.org/rfc/rfc2396.txt</vt:lpwstr>
      </vt:variant>
      <vt:variant>
        <vt:lpwstr/>
      </vt:variant>
      <vt:variant>
        <vt:i4>7602216</vt:i4>
      </vt:variant>
      <vt:variant>
        <vt:i4>165</vt:i4>
      </vt:variant>
      <vt:variant>
        <vt:i4>0</vt:i4>
      </vt:variant>
      <vt:variant>
        <vt:i4>5</vt:i4>
      </vt:variant>
      <vt:variant>
        <vt:lpwstr>http://www.isotc211.org/protdoc/DIS/DIS19125-2.pdf</vt:lpwstr>
      </vt:variant>
      <vt:variant>
        <vt:lpwstr/>
      </vt:variant>
      <vt:variant>
        <vt:i4>7798824</vt:i4>
      </vt:variant>
      <vt:variant>
        <vt:i4>162</vt:i4>
      </vt:variant>
      <vt:variant>
        <vt:i4>0</vt:i4>
      </vt:variant>
      <vt:variant>
        <vt:i4>5</vt:i4>
      </vt:variant>
      <vt:variant>
        <vt:lpwstr>http://www.isotc211.org/protdoc/DIS/DIS19125-1.pdf</vt:lpwstr>
      </vt:variant>
      <vt:variant>
        <vt:lpwstr/>
      </vt:variant>
      <vt:variant>
        <vt:i4>7209068</vt:i4>
      </vt:variant>
      <vt:variant>
        <vt:i4>159</vt:i4>
      </vt:variant>
      <vt:variant>
        <vt:i4>0</vt:i4>
      </vt:variant>
      <vt:variant>
        <vt:i4>5</vt:i4>
      </vt:variant>
      <vt:variant>
        <vt:lpwstr>http://www.isotc211.org/protdoc/DIS/ISO_DIS_19119_%28E%29.pdf</vt:lpwstr>
      </vt:variant>
      <vt:variant>
        <vt:lpwstr/>
      </vt:variant>
      <vt:variant>
        <vt:i4>7209056</vt:i4>
      </vt:variant>
      <vt:variant>
        <vt:i4>156</vt:i4>
      </vt:variant>
      <vt:variant>
        <vt:i4>0</vt:i4>
      </vt:variant>
      <vt:variant>
        <vt:i4>5</vt:i4>
      </vt:variant>
      <vt:variant>
        <vt:lpwstr>http://www.isotc211.org/protdoc/DIS/ISO_DIS_19115_%28E%29.pdf</vt:lpwstr>
      </vt:variant>
      <vt:variant>
        <vt:lpwstr/>
      </vt:variant>
      <vt:variant>
        <vt:i4>7274604</vt:i4>
      </vt:variant>
      <vt:variant>
        <vt:i4>153</vt:i4>
      </vt:variant>
      <vt:variant>
        <vt:i4>0</vt:i4>
      </vt:variant>
      <vt:variant>
        <vt:i4>5</vt:i4>
      </vt:variant>
      <vt:variant>
        <vt:lpwstr>http://www.isotc211.org/protdoc/DIS/ISO_DIS_19109_%28E%29.pdf</vt:lpwstr>
      </vt:variant>
      <vt:variant>
        <vt:lpwstr/>
      </vt:variant>
      <vt:variant>
        <vt:i4>4915207</vt:i4>
      </vt:variant>
      <vt:variant>
        <vt:i4>150</vt:i4>
      </vt:variant>
      <vt:variant>
        <vt:i4>0</vt:i4>
      </vt:variant>
      <vt:variant>
        <vt:i4>5</vt:i4>
      </vt:variant>
      <vt:variant>
        <vt:lpwstr>http://www.isotc211.org/protdoc/DIS/DIS19108.pdf</vt:lpwstr>
      </vt:variant>
      <vt:variant>
        <vt:lpwstr/>
      </vt:variant>
      <vt:variant>
        <vt:i4>7274594</vt:i4>
      </vt:variant>
      <vt:variant>
        <vt:i4>147</vt:i4>
      </vt:variant>
      <vt:variant>
        <vt:i4>0</vt:i4>
      </vt:variant>
      <vt:variant>
        <vt:i4>5</vt:i4>
      </vt:variant>
      <vt:variant>
        <vt:lpwstr>http://www.isotc211.org/protdoc/DIS/ISO_DIS_19107_%28E%29.pdf</vt:lpwstr>
      </vt:variant>
      <vt:variant>
        <vt:lpwstr/>
      </vt:variant>
      <vt:variant>
        <vt:i4>852057</vt:i4>
      </vt:variant>
      <vt:variant>
        <vt:i4>144</vt:i4>
      </vt:variant>
      <vt:variant>
        <vt:i4>0</vt:i4>
      </vt:variant>
      <vt:variant>
        <vt:i4>5</vt:i4>
      </vt:variant>
      <vt:variant>
        <vt:lpwstr>http://webstore.ansi.org/ansidocstore/product.asp?sku=ISO+19101:2002</vt:lpwstr>
      </vt:variant>
      <vt:variant>
        <vt:lpwstr/>
      </vt:variant>
      <vt:variant>
        <vt:i4>7471117</vt:i4>
      </vt:variant>
      <vt:variant>
        <vt:i4>141</vt:i4>
      </vt:variant>
      <vt:variant>
        <vt:i4>0</vt:i4>
      </vt:variant>
      <vt:variant>
        <vt:i4>5</vt:i4>
      </vt:variant>
      <vt:variant>
        <vt:lpwstr>http://www.opengeospatial.org/ogc/policies/ippp</vt:lpwstr>
      </vt:variant>
      <vt:variant>
        <vt:lpwstr/>
      </vt:variant>
      <vt:variant>
        <vt:i4>2555929</vt:i4>
      </vt:variant>
      <vt:variant>
        <vt:i4>138</vt:i4>
      </vt:variant>
      <vt:variant>
        <vt:i4>0</vt:i4>
      </vt:variant>
      <vt:variant>
        <vt:i4>5</vt:i4>
      </vt:variant>
      <vt:variant>
        <vt:lpwstr>http://www.opengeospatial.org/resources/?page=cookbooks</vt:lpwstr>
      </vt:variant>
      <vt:variant>
        <vt:lpwstr/>
      </vt:variant>
      <vt:variant>
        <vt:i4>5636103</vt:i4>
      </vt:variant>
      <vt:variant>
        <vt:i4>135</vt:i4>
      </vt:variant>
      <vt:variant>
        <vt:i4>0</vt:i4>
      </vt:variant>
      <vt:variant>
        <vt:i4>5</vt:i4>
      </vt:variant>
      <vt:variant>
        <vt:lpwstr>http://www.opengeospatial.org/techno/abstract/02-112.pdf</vt:lpwstr>
      </vt:variant>
      <vt:variant>
        <vt:lpwstr/>
      </vt:variant>
      <vt:variant>
        <vt:i4>3801103</vt:i4>
      </vt:variant>
      <vt:variant>
        <vt:i4>132</vt:i4>
      </vt:variant>
      <vt:variant>
        <vt:i4>0</vt:i4>
      </vt:variant>
      <vt:variant>
        <vt:i4>5</vt:i4>
      </vt:variant>
      <vt:variant>
        <vt:lpwstr>http://www.opengeospatial.org/specs/?page=specs</vt:lpwstr>
      </vt:variant>
      <vt:variant>
        <vt:lpwstr/>
      </vt:variant>
      <vt:variant>
        <vt:i4>3801103</vt:i4>
      </vt:variant>
      <vt:variant>
        <vt:i4>129</vt:i4>
      </vt:variant>
      <vt:variant>
        <vt:i4>0</vt:i4>
      </vt:variant>
      <vt:variant>
        <vt:i4>5</vt:i4>
      </vt:variant>
      <vt:variant>
        <vt:lpwstr>http://www.opengeospatial.org/specs/?page=specs</vt:lpwstr>
      </vt:variant>
      <vt:variant>
        <vt:lpwstr/>
      </vt:variant>
      <vt:variant>
        <vt:i4>3801103</vt:i4>
      </vt:variant>
      <vt:variant>
        <vt:i4>126</vt:i4>
      </vt:variant>
      <vt:variant>
        <vt:i4>0</vt:i4>
      </vt:variant>
      <vt:variant>
        <vt:i4>5</vt:i4>
      </vt:variant>
      <vt:variant>
        <vt:lpwstr>http://www.opengeospatial.org/specs/?page=specs</vt:lpwstr>
      </vt:variant>
      <vt:variant>
        <vt:lpwstr/>
      </vt:variant>
      <vt:variant>
        <vt:i4>4391029</vt:i4>
      </vt:variant>
      <vt:variant>
        <vt:i4>123</vt:i4>
      </vt:variant>
      <vt:variant>
        <vt:i4>0</vt:i4>
      </vt:variant>
      <vt:variant>
        <vt:i4>5</vt:i4>
      </vt:variant>
      <vt:variant>
        <vt:lpwstr>https://portal.opengeospatial.org/files/?artifact_id=46568</vt:lpwstr>
      </vt:variant>
      <vt:variant>
        <vt:lpwstr/>
      </vt:variant>
      <vt:variant>
        <vt:i4>1966168</vt:i4>
      </vt:variant>
      <vt:variant>
        <vt:i4>120</vt:i4>
      </vt:variant>
      <vt:variant>
        <vt:i4>0</vt:i4>
      </vt:variant>
      <vt:variant>
        <vt:i4>5</vt:i4>
      </vt:variant>
      <vt:variant>
        <vt:lpwstr>http://portal.opengeospatial.org/files/?artifact_id=42729</vt:lpwstr>
      </vt:variant>
      <vt:variant>
        <vt:lpwstr/>
      </vt:variant>
      <vt:variant>
        <vt:i4>3801103</vt:i4>
      </vt:variant>
      <vt:variant>
        <vt:i4>117</vt:i4>
      </vt:variant>
      <vt:variant>
        <vt:i4>0</vt:i4>
      </vt:variant>
      <vt:variant>
        <vt:i4>5</vt:i4>
      </vt:variant>
      <vt:variant>
        <vt:lpwstr>http://www.opengeospatial.org/specs/?page=specs</vt:lpwstr>
      </vt:variant>
      <vt:variant>
        <vt:lpwstr/>
      </vt:variant>
      <vt:variant>
        <vt:i4>2162809</vt:i4>
      </vt:variant>
      <vt:variant>
        <vt:i4>114</vt:i4>
      </vt:variant>
      <vt:variant>
        <vt:i4>0</vt:i4>
      </vt:variant>
      <vt:variant>
        <vt:i4>5</vt:i4>
      </vt:variant>
      <vt:variant>
        <vt:lpwstr>http://www.opengeospatial.org/specs/?page=baseline</vt:lpwstr>
      </vt:variant>
      <vt:variant>
        <vt:lpwstr/>
      </vt:variant>
      <vt:variant>
        <vt:i4>6881351</vt:i4>
      </vt:variant>
      <vt:variant>
        <vt:i4>111</vt:i4>
      </vt:variant>
      <vt:variant>
        <vt:i4>0</vt:i4>
      </vt:variant>
      <vt:variant>
        <vt:i4>5</vt:i4>
      </vt:variant>
      <vt:variant>
        <vt:lpwstr>http://www.opengeospatial.org/standards/wfs</vt:lpwstr>
      </vt:variant>
      <vt:variant>
        <vt:lpwstr/>
      </vt:variant>
      <vt:variant>
        <vt:i4>6422599</vt:i4>
      </vt:variant>
      <vt:variant>
        <vt:i4>108</vt:i4>
      </vt:variant>
      <vt:variant>
        <vt:i4>0</vt:i4>
      </vt:variant>
      <vt:variant>
        <vt:i4>5</vt:i4>
      </vt:variant>
      <vt:variant>
        <vt:lpwstr>http://www.opengeospatial.org/standards/wms</vt:lpwstr>
      </vt:variant>
      <vt:variant>
        <vt:lpwstr/>
      </vt:variant>
      <vt:variant>
        <vt:i4>6881351</vt:i4>
      </vt:variant>
      <vt:variant>
        <vt:i4>105</vt:i4>
      </vt:variant>
      <vt:variant>
        <vt:i4>0</vt:i4>
      </vt:variant>
      <vt:variant>
        <vt:i4>5</vt:i4>
      </vt:variant>
      <vt:variant>
        <vt:lpwstr>http://www.opengeospatial.org/standards/wfs</vt:lpwstr>
      </vt:variant>
      <vt:variant>
        <vt:lpwstr/>
      </vt:variant>
      <vt:variant>
        <vt:i4>6422599</vt:i4>
      </vt:variant>
      <vt:variant>
        <vt:i4>102</vt:i4>
      </vt:variant>
      <vt:variant>
        <vt:i4>0</vt:i4>
      </vt:variant>
      <vt:variant>
        <vt:i4>5</vt:i4>
      </vt:variant>
      <vt:variant>
        <vt:lpwstr>http://www.opengeospatial.org/standards/wms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CHISP RFQ Annex B - Architecture</dc:title>
  <dc:creator>David Arctur</dc:creator>
  <cp:lastModifiedBy>Lewis Leinenweber</cp:lastModifiedBy>
  <cp:revision>3</cp:revision>
  <cp:lastPrinted>2015-04-21T20:52:00Z</cp:lastPrinted>
  <dcterms:created xsi:type="dcterms:W3CDTF">2015-04-21T20:52:00Z</dcterms:created>
  <dcterms:modified xsi:type="dcterms:W3CDTF">2015-04-21T20:53:00Z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FQReleaseDate">
    <vt:lpwstr>22 April 2015</vt:lpwstr>
  </property>
  <property fmtid="{D5CDD505-2E9C-101B-9397-08002B2CF9AE}" pid="3" name="_ProposalDueDate">
    <vt:lpwstr>22 May 2015</vt:lpwstr>
  </property>
</Properties>
</file>