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18" w:rsidRPr="006B5419" w:rsidRDefault="006B5419" w:rsidP="00C118CB">
      <w:pPr>
        <w:pStyle w:val="Title"/>
        <w:spacing w:after="0"/>
        <w:jc w:val="center"/>
        <w:rPr>
          <w:b/>
          <w:sz w:val="36"/>
        </w:rPr>
      </w:pPr>
      <w:bookmarkStart w:id="0" w:name="_GoBack"/>
      <w:bookmarkEnd w:id="0"/>
      <w:r w:rsidRPr="006B5419">
        <w:rPr>
          <w:b/>
          <w:sz w:val="36"/>
        </w:rPr>
        <w:t>OGC</w:t>
      </w:r>
      <w:r w:rsidR="008C5C1E" w:rsidRPr="006B5419">
        <w:rPr>
          <w:b/>
          <w:sz w:val="36"/>
        </w:rPr>
        <w:t xml:space="preserve"> Health Domain Working Group</w:t>
      </w:r>
      <w:r w:rsidR="00CC7AFD">
        <w:rPr>
          <w:b/>
          <w:sz w:val="36"/>
        </w:rPr>
        <w:t xml:space="preserve"> </w:t>
      </w:r>
      <w:r w:rsidR="00E54C6F">
        <w:rPr>
          <w:b/>
          <w:sz w:val="36"/>
        </w:rPr>
        <w:t>- Charter</w:t>
      </w:r>
    </w:p>
    <w:p w:rsidR="003556BC" w:rsidRDefault="00006418" w:rsidP="00E820F3">
      <w:pPr>
        <w:pStyle w:val="Heading1"/>
        <w:spacing w:before="120"/>
      </w:pPr>
      <w:r>
        <w:t xml:space="preserve">Purpose of </w:t>
      </w:r>
      <w:r w:rsidR="004506AB">
        <w:t xml:space="preserve">an OGC </w:t>
      </w:r>
      <w:r>
        <w:t>Health D</w:t>
      </w:r>
      <w:r w:rsidR="004506AB">
        <w:t xml:space="preserve">omain </w:t>
      </w:r>
      <w:r>
        <w:t>W</w:t>
      </w:r>
      <w:r w:rsidR="004506AB">
        <w:t xml:space="preserve">orking </w:t>
      </w:r>
      <w:r>
        <w:t>G</w:t>
      </w:r>
      <w:r w:rsidR="004506AB">
        <w:t>roup</w:t>
      </w:r>
    </w:p>
    <w:p w:rsidR="00006418" w:rsidRDefault="00A44B8E" w:rsidP="00434D15">
      <w:pPr>
        <w:spacing w:after="0" w:line="240" w:lineRule="auto"/>
      </w:pPr>
      <w:r>
        <w:t>A</w:t>
      </w:r>
      <w:r w:rsidR="001F6CB6">
        <w:t xml:space="preserve">n </w:t>
      </w:r>
      <w:r w:rsidR="001F6CB6" w:rsidRPr="001253C4">
        <w:rPr>
          <w:b/>
        </w:rPr>
        <w:t>OGC</w:t>
      </w:r>
      <w:r w:rsidRPr="001253C4">
        <w:rPr>
          <w:b/>
        </w:rPr>
        <w:t xml:space="preserve"> Health Domain Working Group</w:t>
      </w:r>
      <w:r>
        <w:t xml:space="preserve"> would enable OGC to identify and work with a representative group of market participants in the identification and prioritization of use cases, business and technical requirements that will provide the most significant value, or mitigate the most significant ris</w:t>
      </w:r>
      <w:r w:rsidR="00E820F3">
        <w:t>ks in this arena.  Through e</w:t>
      </w:r>
      <w:r>
        <w:t xml:space="preserve">fforts to identify </w:t>
      </w:r>
      <w:r w:rsidR="00DF6A40">
        <w:t>requirements, gaps in standards</w:t>
      </w:r>
      <w:r>
        <w:t xml:space="preserve"> and opportunities for demonstration, </w:t>
      </w:r>
      <w:r w:rsidR="00E820F3">
        <w:t xml:space="preserve">a Health Domain Working Group will contribute to </w:t>
      </w:r>
      <w:r>
        <w:t>develop</w:t>
      </w:r>
      <w:r w:rsidR="00E820F3">
        <w:t>ment of</w:t>
      </w:r>
      <w:r>
        <w:t xml:space="preserve"> open mapping standards in support of health</w:t>
      </w:r>
      <w:r w:rsidR="00062C01">
        <w:t xml:space="preserve"> marketplace </w:t>
      </w:r>
      <w:r>
        <w:t>requirement</w:t>
      </w:r>
      <w:r w:rsidR="00E820F3">
        <w:t>s.</w:t>
      </w:r>
      <w:r w:rsidR="00E820F3" w:rsidRPr="00E820F3">
        <w:t xml:space="preserve"> </w:t>
      </w:r>
      <w:r w:rsidR="00E820F3">
        <w:t xml:space="preserve">  Through bringing together geospatial vendor</w:t>
      </w:r>
      <w:r w:rsidR="000C27EF">
        <w:t>s</w:t>
      </w:r>
      <w:r w:rsidR="00E820F3">
        <w:t xml:space="preserve"> and end-user</w:t>
      </w:r>
      <w:r w:rsidR="000C27EF">
        <w:t>s</w:t>
      </w:r>
      <w:r w:rsidR="00E820F3">
        <w:t xml:space="preserve">, </w:t>
      </w:r>
      <w:r w:rsidR="000C27EF">
        <w:t xml:space="preserve">an OGC </w:t>
      </w:r>
      <w:r w:rsidR="00E820F3">
        <w:t xml:space="preserve">Health Domain Working Group will cultivate technical solutions which support interoperable concepts, data definitions, formats and services for publishing, search, and exchange of geospatial information.  </w:t>
      </w:r>
    </w:p>
    <w:p w:rsidR="00A430AA" w:rsidRDefault="00A430AA" w:rsidP="00A430AA">
      <w:pPr>
        <w:pStyle w:val="Heading1"/>
        <w:spacing w:before="120"/>
      </w:pPr>
      <w:r>
        <w:t>Proposed Activities</w:t>
      </w:r>
      <w:r w:rsidR="006A718F">
        <w:t xml:space="preserve"> / Roles</w:t>
      </w:r>
    </w:p>
    <w:p w:rsidR="00A430AA" w:rsidRDefault="001253C4" w:rsidP="00C51D79">
      <w:pPr>
        <w:spacing w:after="0" w:line="240" w:lineRule="auto"/>
      </w:pPr>
      <w:r>
        <w:t xml:space="preserve">This Discussion Paper aims to outline potential roles for an OGC Health Domain Working Group.  This </w:t>
      </w:r>
      <w:r w:rsidR="00A50053">
        <w:t>may include but is not limited to,</w:t>
      </w:r>
      <w:r>
        <w:t xml:space="preserve"> activities to: </w:t>
      </w:r>
    </w:p>
    <w:p w:rsidR="00A430AA" w:rsidRDefault="00A430AA" w:rsidP="00C51D79">
      <w:pPr>
        <w:pStyle w:val="ListParagraph"/>
        <w:numPr>
          <w:ilvl w:val="0"/>
          <w:numId w:val="2"/>
        </w:numPr>
        <w:spacing w:after="0" w:line="240" w:lineRule="auto"/>
      </w:pPr>
      <w:r w:rsidRPr="000C27EF">
        <w:rPr>
          <w:b/>
        </w:rPr>
        <w:t>Convene</w:t>
      </w:r>
      <w:r>
        <w:t xml:space="preserve"> OGC members and non-members </w:t>
      </w:r>
      <w:r w:rsidR="00062C01">
        <w:t>across the</w:t>
      </w:r>
      <w:r>
        <w:t xml:space="preserve"> health domain</w:t>
      </w:r>
    </w:p>
    <w:p w:rsidR="00A430AA" w:rsidRDefault="00A430AA" w:rsidP="00C51D79">
      <w:pPr>
        <w:pStyle w:val="ListParagraph"/>
        <w:numPr>
          <w:ilvl w:val="0"/>
          <w:numId w:val="2"/>
        </w:numPr>
        <w:spacing w:after="0" w:line="240" w:lineRule="auto"/>
      </w:pPr>
      <w:r w:rsidRPr="000C27EF">
        <w:rPr>
          <w:b/>
        </w:rPr>
        <w:t xml:space="preserve">Build </w:t>
      </w:r>
      <w:r w:rsidR="000C27EF">
        <w:rPr>
          <w:b/>
        </w:rPr>
        <w:t>C</w:t>
      </w:r>
      <w:r w:rsidRPr="000C27EF">
        <w:rPr>
          <w:b/>
        </w:rPr>
        <w:t>apacity</w:t>
      </w:r>
      <w:r>
        <w:t xml:space="preserve"> for technical solutions, knowledge exchange, requirements gathering</w:t>
      </w:r>
      <w:r w:rsidR="00C118CB">
        <w:t xml:space="preserve"> and prioritization</w:t>
      </w:r>
    </w:p>
    <w:p w:rsidR="00A430AA" w:rsidRDefault="00A430AA" w:rsidP="00A430AA">
      <w:pPr>
        <w:pStyle w:val="ListParagraph"/>
        <w:numPr>
          <w:ilvl w:val="0"/>
          <w:numId w:val="2"/>
        </w:numPr>
        <w:spacing w:after="0" w:line="240" w:lineRule="auto"/>
      </w:pPr>
      <w:r w:rsidRPr="000C27EF">
        <w:rPr>
          <w:b/>
        </w:rPr>
        <w:t xml:space="preserve">Assimilate </w:t>
      </w:r>
      <w:r w:rsidR="000C27EF">
        <w:rPr>
          <w:b/>
        </w:rPr>
        <w:t>I</w:t>
      </w:r>
      <w:r w:rsidRPr="000C27EF">
        <w:rPr>
          <w:b/>
        </w:rPr>
        <w:t>nputs</w:t>
      </w:r>
      <w:r>
        <w:t xml:space="preserve"> toward geospatial standards development, including data definitions, formats, and services for publishing, discovery, exchange</w:t>
      </w:r>
      <w:r w:rsidR="006B5419">
        <w:t xml:space="preserve">, and </w:t>
      </w:r>
      <w:proofErr w:type="spellStart"/>
      <w:r w:rsidR="006B5419">
        <w:t>queryability</w:t>
      </w:r>
      <w:proofErr w:type="spellEnd"/>
      <w:r>
        <w:t xml:space="preserve"> of geospatial information</w:t>
      </w:r>
    </w:p>
    <w:p w:rsidR="00062C01" w:rsidRDefault="00062C01" w:rsidP="00A430AA">
      <w:pPr>
        <w:pStyle w:val="ListParagraph"/>
        <w:numPr>
          <w:ilvl w:val="0"/>
          <w:numId w:val="2"/>
        </w:numPr>
        <w:spacing w:after="0" w:line="240" w:lineRule="auto"/>
      </w:pPr>
      <w:r w:rsidRPr="00CC7AFD">
        <w:rPr>
          <w:b/>
        </w:rPr>
        <w:t xml:space="preserve">Help to focus on sub-sets of health </w:t>
      </w:r>
      <w:r w:rsidRPr="00CC7AFD">
        <w:t>where geospatial data and interoperability are required</w:t>
      </w:r>
    </w:p>
    <w:p w:rsidR="00A430AA" w:rsidRDefault="00A430AA" w:rsidP="00A430AA">
      <w:pPr>
        <w:pStyle w:val="ListParagraph"/>
        <w:numPr>
          <w:ilvl w:val="0"/>
          <w:numId w:val="2"/>
        </w:numPr>
        <w:spacing w:before="120" w:after="0" w:line="240" w:lineRule="auto"/>
      </w:pPr>
      <w:r w:rsidRPr="000C27EF">
        <w:rPr>
          <w:b/>
        </w:rPr>
        <w:t>Spawn</w:t>
      </w:r>
      <w:r>
        <w:t xml:space="preserve"> </w:t>
      </w:r>
      <w:r w:rsidR="000C27EF" w:rsidRPr="000C27EF">
        <w:rPr>
          <w:b/>
        </w:rPr>
        <w:t>Demonstration Projects</w:t>
      </w:r>
      <w:r w:rsidR="009F459A">
        <w:t xml:space="preserve">, </w:t>
      </w:r>
      <w:r w:rsidR="009F459A" w:rsidRPr="009F459A">
        <w:rPr>
          <w:rFonts w:ascii="Calibri" w:eastAsia="Times New Roman" w:hAnsi="Calibri"/>
          <w:color w:val="000000"/>
          <w:szCs w:val="24"/>
        </w:rPr>
        <w:t>Interoperability Experiments</w:t>
      </w:r>
      <w:r w:rsidR="009F459A">
        <w:rPr>
          <w:rFonts w:ascii="Calibri" w:eastAsia="Times New Roman" w:hAnsi="Calibri"/>
          <w:color w:val="000000"/>
          <w:szCs w:val="24"/>
        </w:rPr>
        <w:t>,</w:t>
      </w:r>
      <w:r w:rsidR="009F459A" w:rsidRPr="009F459A">
        <w:rPr>
          <w:rFonts w:ascii="Calibri" w:eastAsia="Times New Roman" w:hAnsi="Calibri"/>
          <w:color w:val="000000"/>
          <w:szCs w:val="24"/>
        </w:rPr>
        <w:t xml:space="preserve"> </w:t>
      </w:r>
      <w:r w:rsidR="009F459A">
        <w:rPr>
          <w:rFonts w:ascii="Calibri" w:eastAsia="Times New Roman" w:hAnsi="Calibri"/>
          <w:color w:val="000000"/>
          <w:szCs w:val="24"/>
        </w:rPr>
        <w:t>and</w:t>
      </w:r>
      <w:r w:rsidR="009F459A" w:rsidRPr="009F459A">
        <w:rPr>
          <w:rFonts w:ascii="Calibri" w:eastAsia="Times New Roman" w:hAnsi="Calibri"/>
          <w:color w:val="000000"/>
          <w:szCs w:val="24"/>
        </w:rPr>
        <w:t xml:space="preserve"> Interoperability Pilots</w:t>
      </w:r>
    </w:p>
    <w:p w:rsidR="001253C4" w:rsidRDefault="00A430AA" w:rsidP="001253C4">
      <w:pPr>
        <w:pStyle w:val="ListParagraph"/>
        <w:numPr>
          <w:ilvl w:val="0"/>
          <w:numId w:val="2"/>
        </w:numPr>
        <w:spacing w:before="120" w:after="0" w:line="240" w:lineRule="auto"/>
      </w:pPr>
      <w:r w:rsidRPr="001253C4">
        <w:rPr>
          <w:b/>
        </w:rPr>
        <w:t>Educate</w:t>
      </w:r>
      <w:r w:rsidR="000C27EF">
        <w:t xml:space="preserve"> </w:t>
      </w:r>
      <w:r w:rsidR="000C27EF" w:rsidRPr="001253C4">
        <w:rPr>
          <w:b/>
        </w:rPr>
        <w:t xml:space="preserve">and </w:t>
      </w:r>
      <w:r w:rsidRPr="001253C4">
        <w:rPr>
          <w:b/>
        </w:rPr>
        <w:t>Inform</w:t>
      </w:r>
      <w:r>
        <w:t xml:space="preserve"> </w:t>
      </w:r>
      <w:r w:rsidR="00C118CB">
        <w:t>Health communities-of-practice</w:t>
      </w:r>
    </w:p>
    <w:p w:rsidR="00006418" w:rsidRPr="00A430AA" w:rsidRDefault="00DF1F4E" w:rsidP="001253C4">
      <w:pPr>
        <w:pStyle w:val="Heading1"/>
        <w:spacing w:before="120"/>
      </w:pPr>
      <w:r>
        <w:t xml:space="preserve">Proposed Format / </w:t>
      </w:r>
      <w:r w:rsidR="00006418" w:rsidRPr="00A430AA">
        <w:t xml:space="preserve">Membership </w:t>
      </w:r>
    </w:p>
    <w:p w:rsidR="006A718F" w:rsidRDefault="006A718F" w:rsidP="00434D15">
      <w:pPr>
        <w:spacing w:after="0" w:line="240" w:lineRule="auto"/>
      </w:pPr>
      <w:r>
        <w:t>The suggested format for a</w:t>
      </w:r>
      <w:r w:rsidR="004506AB">
        <w:t>n OGC</w:t>
      </w:r>
      <w:r>
        <w:t xml:space="preserve"> Health</w:t>
      </w:r>
      <w:r w:rsidR="000F5C46">
        <w:t xml:space="preserve"> Domain Working Group is </w:t>
      </w:r>
      <w:r w:rsidR="000F5C46" w:rsidRPr="004506AB">
        <w:rPr>
          <w:b/>
        </w:rPr>
        <w:t xml:space="preserve">Public </w:t>
      </w:r>
      <w:r w:rsidR="000F5C46">
        <w:t>– i.e. open to</w:t>
      </w:r>
      <w:r w:rsidR="00DF6A40">
        <w:t xml:space="preserve"> OGC members and</w:t>
      </w:r>
      <w:r w:rsidR="000F5C46">
        <w:t xml:space="preserve"> non-members.  This will </w:t>
      </w:r>
      <w:r w:rsidR="00DA69D7">
        <w:t>enhance the opportunity for health sector, government agencies, and geospatial community to collaborate in user</w:t>
      </w:r>
      <w:r w:rsidR="004506AB">
        <w:t>/technical</w:t>
      </w:r>
      <w:r w:rsidR="00DA69D7">
        <w:t xml:space="preserve"> requirements gathering, development of standards, knowledge exchange, demonstration through interoperability projects of open mapping standards in support of</w:t>
      </w:r>
      <w:r w:rsidR="00062C01">
        <w:t xml:space="preserve"> various</w:t>
      </w:r>
      <w:r w:rsidR="00DA69D7">
        <w:t xml:space="preserve"> health</w:t>
      </w:r>
      <w:r w:rsidR="000C27EF">
        <w:t xml:space="preserve"> </w:t>
      </w:r>
      <w:r w:rsidR="00062C01">
        <w:t xml:space="preserve">marketplace </w:t>
      </w:r>
      <w:r w:rsidR="000C27EF">
        <w:t>requirements</w:t>
      </w:r>
      <w:r w:rsidR="00DA69D7">
        <w:t xml:space="preserve">. </w:t>
      </w:r>
    </w:p>
    <w:p w:rsidR="00006418" w:rsidRDefault="00006418" w:rsidP="00E820F3">
      <w:pPr>
        <w:pStyle w:val="Heading1"/>
        <w:spacing w:before="120"/>
      </w:pPr>
      <w:r>
        <w:t>Statement of Needs</w:t>
      </w:r>
      <w:r w:rsidR="006A718F">
        <w:t xml:space="preserve"> / Strategic Objectives</w:t>
      </w:r>
    </w:p>
    <w:p w:rsidR="00DF6A40" w:rsidRPr="001B3772" w:rsidRDefault="00DF6A40" w:rsidP="00C118CB">
      <w:pPr>
        <w:spacing w:after="0" w:line="240" w:lineRule="auto"/>
      </w:pPr>
      <w:r>
        <w:t xml:space="preserve">Based on </w:t>
      </w:r>
      <w:r w:rsidR="000C27EF">
        <w:t>previous</w:t>
      </w:r>
      <w:r>
        <w:t xml:space="preserve"> research, health stakeholder consultation, and implementations of OGC web map standards in support of health, </w:t>
      </w:r>
      <w:r w:rsidRPr="001B3772">
        <w:t>the following list summarizes potential focus areas /</w:t>
      </w:r>
      <w:r w:rsidR="001253C4" w:rsidRPr="001B3772">
        <w:t xml:space="preserve"> marketplace</w:t>
      </w:r>
      <w:r w:rsidRPr="001B3772">
        <w:t xml:space="preserve"> needs to be addressed by an </w:t>
      </w:r>
      <w:r w:rsidR="002E0BC0">
        <w:t>OGC Health Domain Working Group.  Areas of interest that are lower priority (but align well) are included as the Appendix.</w:t>
      </w:r>
    </w:p>
    <w:p w:rsidR="00CC7AFD" w:rsidRPr="001B3772" w:rsidRDefault="001253C4" w:rsidP="00CC7AFD">
      <w:pPr>
        <w:pStyle w:val="ListParagraph"/>
        <w:numPr>
          <w:ilvl w:val="0"/>
          <w:numId w:val="7"/>
        </w:numPr>
        <w:spacing w:after="0" w:line="240" w:lineRule="auto"/>
        <w:rPr>
          <w:rFonts w:ascii="Calibri" w:hAnsi="Calibri"/>
        </w:rPr>
      </w:pPr>
      <w:r w:rsidRPr="001B3772">
        <w:rPr>
          <w:b/>
        </w:rPr>
        <w:t xml:space="preserve">Address </w:t>
      </w:r>
      <w:r w:rsidRPr="00C31F0F">
        <w:rPr>
          <w:b/>
          <w:u w:val="single"/>
        </w:rPr>
        <w:t>interoperability</w:t>
      </w:r>
      <w:r w:rsidRPr="001B3772">
        <w:rPr>
          <w:b/>
        </w:rPr>
        <w:t xml:space="preserve"> </w:t>
      </w:r>
      <w:r w:rsidR="003A3C6B" w:rsidRPr="001B3772">
        <w:rPr>
          <w:b/>
        </w:rPr>
        <w:t xml:space="preserve">requirements </w:t>
      </w:r>
      <w:r w:rsidRPr="001B3772">
        <w:t xml:space="preserve">– </w:t>
      </w:r>
      <w:r w:rsidR="003A3C6B" w:rsidRPr="001B3772">
        <w:t xml:space="preserve">e.g. </w:t>
      </w:r>
      <w:r w:rsidRPr="001B3772">
        <w:t xml:space="preserve">support more effective </w:t>
      </w:r>
      <w:r w:rsidR="003A3C6B" w:rsidRPr="001B3772">
        <w:t xml:space="preserve">health </w:t>
      </w:r>
      <w:r w:rsidRPr="001B3772">
        <w:t>surveillance</w:t>
      </w:r>
      <w:r w:rsidR="003A3C6B" w:rsidRPr="001B3772">
        <w:t xml:space="preserve"> using open mapping standards to access distributed geospatial data pertaining to</w:t>
      </w:r>
      <w:r w:rsidRPr="001B3772">
        <w:t xml:space="preserve"> disease, disease vectors and vulnerable communities</w:t>
      </w:r>
      <w:r w:rsidR="003A3C6B" w:rsidRPr="001B3772">
        <w:t xml:space="preserve"> / populations.</w:t>
      </w:r>
      <w:r w:rsidRPr="001B3772">
        <w:t xml:space="preserve"> </w:t>
      </w:r>
      <w:r w:rsidR="00F50B87" w:rsidRPr="001B3772">
        <w:t>The WHO has called for system</w:t>
      </w:r>
      <w:r w:rsidR="00E54C6F">
        <w:t>atic</w:t>
      </w:r>
      <w:r w:rsidR="00F50B87" w:rsidRPr="001B3772">
        <w:t xml:space="preserve"> approaches to monitoring environmental determinants of health, reducing population vulnerability and mitigating risks or impacts from infectious and vector borne diseases.</w:t>
      </w:r>
    </w:p>
    <w:p w:rsidR="00CC7AFD" w:rsidRPr="001B3772" w:rsidRDefault="001253C4" w:rsidP="00CC7AFD">
      <w:pPr>
        <w:pStyle w:val="ListParagraph"/>
        <w:numPr>
          <w:ilvl w:val="0"/>
          <w:numId w:val="7"/>
        </w:numPr>
        <w:spacing w:after="0" w:line="240" w:lineRule="auto"/>
        <w:rPr>
          <w:rFonts w:ascii="Calibri" w:hAnsi="Calibri"/>
        </w:rPr>
      </w:pPr>
      <w:r w:rsidRPr="001B3772">
        <w:rPr>
          <w:b/>
        </w:rPr>
        <w:t xml:space="preserve">Develop and </w:t>
      </w:r>
      <w:r w:rsidR="003A3C6B" w:rsidRPr="001B3772">
        <w:rPr>
          <w:b/>
        </w:rPr>
        <w:t>s</w:t>
      </w:r>
      <w:r w:rsidRPr="001B3772">
        <w:rPr>
          <w:b/>
        </w:rPr>
        <w:t xml:space="preserve">upport </w:t>
      </w:r>
      <w:r w:rsidR="00C31F0F">
        <w:rPr>
          <w:b/>
          <w:u w:val="single"/>
        </w:rPr>
        <w:t>c</w:t>
      </w:r>
      <w:r w:rsidRPr="00C31F0F">
        <w:rPr>
          <w:b/>
          <w:u w:val="single"/>
        </w:rPr>
        <w:t>ommunication</w:t>
      </w:r>
      <w:r w:rsidRPr="001B3772">
        <w:t xml:space="preserve"> </w:t>
      </w:r>
      <w:r w:rsidRPr="001B3772">
        <w:rPr>
          <w:b/>
        </w:rPr>
        <w:t>strategies and market research</w:t>
      </w:r>
      <w:r w:rsidRPr="001B3772">
        <w:t>, including for take-to-market of OGC standards / OGC-compliant technologies</w:t>
      </w:r>
      <w:r w:rsidR="003A3C6B" w:rsidRPr="001B3772">
        <w:t xml:space="preserve"> which serve the health marketplace</w:t>
      </w:r>
      <w:r w:rsidR="001967E7">
        <w:t xml:space="preserve"> and as part of National Health Information Systems</w:t>
      </w:r>
    </w:p>
    <w:p w:rsidR="00CC7AFD" w:rsidRPr="001B3772" w:rsidRDefault="00C118CB" w:rsidP="00CC7AFD">
      <w:pPr>
        <w:pStyle w:val="ListParagraph"/>
        <w:numPr>
          <w:ilvl w:val="0"/>
          <w:numId w:val="7"/>
        </w:numPr>
        <w:tabs>
          <w:tab w:val="left" w:pos="210"/>
        </w:tabs>
        <w:spacing w:after="0" w:line="240" w:lineRule="auto"/>
        <w:rPr>
          <w:rFonts w:ascii="Calibri" w:hAnsi="Calibri"/>
        </w:rPr>
      </w:pPr>
      <w:r w:rsidRPr="001B3772">
        <w:rPr>
          <w:b/>
        </w:rPr>
        <w:t xml:space="preserve">   Support </w:t>
      </w:r>
      <w:r w:rsidR="00C31F0F">
        <w:rPr>
          <w:b/>
        </w:rPr>
        <w:t>c</w:t>
      </w:r>
      <w:r w:rsidR="001253C4" w:rsidRPr="001B3772">
        <w:rPr>
          <w:b/>
        </w:rPr>
        <w:t>ross-</w:t>
      </w:r>
      <w:r w:rsidR="00C31F0F">
        <w:rPr>
          <w:b/>
        </w:rPr>
        <w:t>b</w:t>
      </w:r>
      <w:r w:rsidR="001253C4" w:rsidRPr="001B3772">
        <w:rPr>
          <w:b/>
        </w:rPr>
        <w:t xml:space="preserve">order </w:t>
      </w:r>
      <w:r w:rsidR="00C31F0F">
        <w:rPr>
          <w:b/>
        </w:rPr>
        <w:t>s</w:t>
      </w:r>
      <w:r w:rsidR="001253C4" w:rsidRPr="001B3772">
        <w:rPr>
          <w:b/>
        </w:rPr>
        <w:t>urveillance</w:t>
      </w:r>
      <w:r w:rsidRPr="001B3772">
        <w:rPr>
          <w:b/>
        </w:rPr>
        <w:t xml:space="preserve"> initiatives</w:t>
      </w:r>
      <w:r w:rsidR="001253C4" w:rsidRPr="001B3772">
        <w:t xml:space="preserve"> </w:t>
      </w:r>
      <w:r w:rsidR="002E0BC0">
        <w:t xml:space="preserve">- </w:t>
      </w:r>
      <w:r w:rsidR="003A3C6B" w:rsidRPr="001B3772">
        <w:t>e.g.</w:t>
      </w:r>
      <w:r w:rsidR="002E0BC0">
        <w:t xml:space="preserve"> </w:t>
      </w:r>
      <w:r w:rsidR="001253C4" w:rsidRPr="001B3772">
        <w:t>modeling,</w:t>
      </w:r>
      <w:r w:rsidR="003A3C6B" w:rsidRPr="001B3772">
        <w:t xml:space="preserve"> exercising, </w:t>
      </w:r>
      <w:r w:rsidR="001253C4" w:rsidRPr="001B3772">
        <w:t>responding to cross-border health risks</w:t>
      </w:r>
    </w:p>
    <w:p w:rsidR="00CC7AFD" w:rsidRPr="001967E7" w:rsidRDefault="00CC7AFD" w:rsidP="00CC7AFD">
      <w:pPr>
        <w:pStyle w:val="ListParagraph"/>
        <w:numPr>
          <w:ilvl w:val="0"/>
          <w:numId w:val="7"/>
        </w:numPr>
        <w:tabs>
          <w:tab w:val="left" w:pos="210"/>
        </w:tabs>
        <w:spacing w:after="0" w:line="240" w:lineRule="auto"/>
        <w:rPr>
          <w:rFonts w:ascii="Calibri" w:hAnsi="Calibri"/>
        </w:rPr>
      </w:pPr>
      <w:r w:rsidRPr="001B3772">
        <w:rPr>
          <w:b/>
        </w:rPr>
        <w:t xml:space="preserve">   </w:t>
      </w:r>
      <w:r w:rsidR="00C118CB" w:rsidRPr="001B3772">
        <w:rPr>
          <w:b/>
        </w:rPr>
        <w:t>Advance best practices for</w:t>
      </w:r>
      <w:r w:rsidR="00C118CB" w:rsidRPr="002E0BC0">
        <w:rPr>
          <w:b/>
          <w:u w:val="single"/>
        </w:rPr>
        <w:t xml:space="preserve"> </w:t>
      </w:r>
      <w:r w:rsidR="00C31F0F">
        <w:rPr>
          <w:b/>
          <w:u w:val="single"/>
        </w:rPr>
        <w:t>v</w:t>
      </w:r>
      <w:r w:rsidR="006A718F" w:rsidRPr="002E0BC0">
        <w:rPr>
          <w:b/>
          <w:u w:val="single"/>
        </w:rPr>
        <w:t xml:space="preserve">isualization </w:t>
      </w:r>
      <w:r w:rsidR="006A718F" w:rsidRPr="001B3772">
        <w:rPr>
          <w:b/>
        </w:rPr>
        <w:t xml:space="preserve">of </w:t>
      </w:r>
      <w:r w:rsidR="00E820F3" w:rsidRPr="001B3772">
        <w:rPr>
          <w:b/>
        </w:rPr>
        <w:t xml:space="preserve">Chronic and Infectious </w:t>
      </w:r>
      <w:r w:rsidR="00DA69D7" w:rsidRPr="001B3772">
        <w:rPr>
          <w:b/>
        </w:rPr>
        <w:t>Diseases</w:t>
      </w:r>
      <w:r w:rsidR="0090508B">
        <w:rPr>
          <w:b/>
        </w:rPr>
        <w:t>, and related environmental and socioeconomic data,</w:t>
      </w:r>
      <w:r w:rsidR="00C118CB" w:rsidRPr="001B3772">
        <w:rPr>
          <w:b/>
        </w:rPr>
        <w:t xml:space="preserve"> using open mapping standards </w:t>
      </w:r>
      <w:r w:rsidR="001F6CB6" w:rsidRPr="001B3772">
        <w:t xml:space="preserve">– </w:t>
      </w:r>
      <w:r w:rsidR="003A3C6B" w:rsidRPr="001B3772">
        <w:t xml:space="preserve">e.g. </w:t>
      </w:r>
      <w:r w:rsidR="00A50053" w:rsidRPr="001B3772">
        <w:t xml:space="preserve">to </w:t>
      </w:r>
      <w:r w:rsidR="003A3C6B" w:rsidRPr="001B3772">
        <w:t xml:space="preserve">support </w:t>
      </w:r>
      <w:r w:rsidR="001F6CB6" w:rsidRPr="001B3772">
        <w:t>epidemiology, surveillance, control, treatment</w:t>
      </w:r>
      <w:r w:rsidR="003A3C6B" w:rsidRPr="001B3772">
        <w:t xml:space="preserve">, </w:t>
      </w:r>
      <w:r w:rsidR="001253C4" w:rsidRPr="001B3772">
        <w:t>prevention</w:t>
      </w:r>
      <w:r w:rsidR="003A3C6B" w:rsidRPr="001B3772">
        <w:t>, and education</w:t>
      </w:r>
      <w:r w:rsidR="00A50053" w:rsidRPr="001B3772">
        <w:t xml:space="preserve"> activities</w:t>
      </w:r>
      <w:r w:rsidR="0090508B">
        <w:t xml:space="preserve"> </w:t>
      </w:r>
    </w:p>
    <w:p w:rsidR="001967E7" w:rsidRPr="001967E7" w:rsidRDefault="00C31F0F" w:rsidP="00CC7AFD">
      <w:pPr>
        <w:pStyle w:val="ListParagraph"/>
        <w:numPr>
          <w:ilvl w:val="0"/>
          <w:numId w:val="7"/>
        </w:numPr>
        <w:spacing w:after="0" w:line="240" w:lineRule="auto"/>
        <w:rPr>
          <w:rFonts w:ascii="Calibri" w:hAnsi="Calibri"/>
        </w:rPr>
      </w:pPr>
      <w:r>
        <w:rPr>
          <w:b/>
        </w:rPr>
        <w:t>Exchange b</w:t>
      </w:r>
      <w:r w:rsidR="001967E7" w:rsidRPr="00C31F0F">
        <w:rPr>
          <w:b/>
        </w:rPr>
        <w:t xml:space="preserve">est </w:t>
      </w:r>
      <w:r>
        <w:rPr>
          <w:b/>
        </w:rPr>
        <w:t>p</w:t>
      </w:r>
      <w:r w:rsidR="001967E7" w:rsidRPr="00C31F0F">
        <w:rPr>
          <w:b/>
        </w:rPr>
        <w:t>ractices for</w:t>
      </w:r>
      <w:r w:rsidR="001967E7" w:rsidRPr="001B3772">
        <w:t xml:space="preserve"> </w:t>
      </w:r>
      <w:r w:rsidRPr="00C31F0F">
        <w:rPr>
          <w:b/>
          <w:u w:val="single"/>
        </w:rPr>
        <w:t>h</w:t>
      </w:r>
      <w:r>
        <w:rPr>
          <w:b/>
          <w:u w:val="single"/>
        </w:rPr>
        <w:t>ealth i</w:t>
      </w:r>
      <w:r w:rsidR="001967E7" w:rsidRPr="00C31F0F">
        <w:rPr>
          <w:b/>
          <w:u w:val="single"/>
        </w:rPr>
        <w:t>nformation Privacy</w:t>
      </w:r>
      <w:r w:rsidR="001967E7" w:rsidRPr="001B3772">
        <w:t>, Exchange and Visualization / OR / Develop best practices for implementation of OGC web service standards (together) in order to protect privacy, personally identifiable information and re-identification, while providing permission-based access (for example: best practices for exchange / visualization of Health Level 7 (HL7) geospatial data; for Telemedicine; or for Medical and Micro-Biological applications; non exhaustive)</w:t>
      </w:r>
    </w:p>
    <w:p w:rsidR="001967E7" w:rsidRDefault="001967E7" w:rsidP="001967E7">
      <w:pPr>
        <w:pStyle w:val="ListParagraph"/>
        <w:numPr>
          <w:ilvl w:val="0"/>
          <w:numId w:val="7"/>
        </w:numPr>
        <w:spacing w:after="0" w:line="240" w:lineRule="auto"/>
      </w:pPr>
      <w:r w:rsidRPr="00E54C6F">
        <w:rPr>
          <w:b/>
        </w:rPr>
        <w:t>Facilitate cross-SDO</w:t>
      </w:r>
      <w:r w:rsidRPr="001B3772">
        <w:t xml:space="preserve"> </w:t>
      </w:r>
      <w:r w:rsidRPr="002677C2">
        <w:rPr>
          <w:b/>
          <w:u w:val="single"/>
        </w:rPr>
        <w:t>collaboration</w:t>
      </w:r>
      <w:r w:rsidR="002677C2" w:rsidRPr="002677C2">
        <w:rPr>
          <w:b/>
          <w:u w:val="single"/>
        </w:rPr>
        <w:t>,</w:t>
      </w:r>
      <w:r w:rsidRPr="001B3772">
        <w:t xml:space="preserve"> for example: </w:t>
      </w:r>
      <w:r w:rsidR="002677C2" w:rsidRPr="001B3772">
        <w:t xml:space="preserve">Pursue working relationship with </w:t>
      </w:r>
      <w:r w:rsidR="002677C2">
        <w:t xml:space="preserve">members of </w:t>
      </w:r>
      <w:r w:rsidR="002677C2" w:rsidRPr="001B3772">
        <w:t>other standards groups such as OASIS (e.g. XSPA-TC), HL7, SDMX-HD (ISO 17369:2013), as well as with the World Health Organization (possibly also the UN SDI), and national health and geospatial data providers</w:t>
      </w:r>
      <w:r w:rsidR="002677C2">
        <w:t xml:space="preserve">, toward </w:t>
      </w:r>
      <w:r w:rsidRPr="001B3772">
        <w:t xml:space="preserve">harmonization of HL7, OASIS, SMDX-HD (e.g. establish a mapping between O&amp;M and SDMX-HD); </w:t>
      </w:r>
      <w:r w:rsidR="00C31F0F">
        <w:t>and possibly others.</w:t>
      </w:r>
    </w:p>
    <w:p w:rsidR="002E0BC0" w:rsidRPr="002E0BC0" w:rsidRDefault="00C118CB" w:rsidP="00CC7AFD">
      <w:pPr>
        <w:pStyle w:val="ListParagraph"/>
        <w:numPr>
          <w:ilvl w:val="0"/>
          <w:numId w:val="7"/>
        </w:numPr>
        <w:spacing w:after="0" w:line="240" w:lineRule="auto"/>
        <w:rPr>
          <w:rFonts w:ascii="Calibri" w:hAnsi="Calibri"/>
        </w:rPr>
      </w:pPr>
      <w:r w:rsidRPr="001B3772">
        <w:rPr>
          <w:b/>
        </w:rPr>
        <w:lastRenderedPageBreak/>
        <w:t xml:space="preserve">Advance </w:t>
      </w:r>
      <w:r w:rsidRPr="00E54C6F">
        <w:rPr>
          <w:b/>
          <w:u w:val="single"/>
        </w:rPr>
        <w:t>best practices</w:t>
      </w:r>
      <w:r w:rsidRPr="001B3772">
        <w:rPr>
          <w:b/>
        </w:rPr>
        <w:t xml:space="preserve"> for </w:t>
      </w:r>
      <w:r w:rsidR="00E54C6F">
        <w:rPr>
          <w:b/>
        </w:rPr>
        <w:t xml:space="preserve">various use cases </w:t>
      </w:r>
      <w:r w:rsidR="00E54C6F" w:rsidRPr="001B3772">
        <w:rPr>
          <w:b/>
        </w:rPr>
        <w:t xml:space="preserve">using open </w:t>
      </w:r>
      <w:r w:rsidR="00E54C6F">
        <w:rPr>
          <w:b/>
        </w:rPr>
        <w:t>geospatial</w:t>
      </w:r>
      <w:r w:rsidR="00E54C6F" w:rsidRPr="001B3772">
        <w:rPr>
          <w:b/>
        </w:rPr>
        <w:t xml:space="preserve"> standards</w:t>
      </w:r>
      <w:r w:rsidR="00E54C6F">
        <w:rPr>
          <w:b/>
        </w:rPr>
        <w:t xml:space="preserve"> – e.g. </w:t>
      </w:r>
      <w:r w:rsidR="00A50053" w:rsidRPr="001B3772">
        <w:t xml:space="preserve">to </w:t>
      </w:r>
      <w:r w:rsidR="003A3C6B" w:rsidRPr="001B3772">
        <w:t xml:space="preserve">support </w:t>
      </w:r>
      <w:r w:rsidR="001F6CB6" w:rsidRPr="001B3772">
        <w:t xml:space="preserve">modeling of climate impacts on public health, risk </w:t>
      </w:r>
      <w:r w:rsidR="00A50053" w:rsidRPr="001B3772">
        <w:t xml:space="preserve">assessment and </w:t>
      </w:r>
      <w:r w:rsidR="001F6CB6" w:rsidRPr="001B3772">
        <w:t>reduction</w:t>
      </w:r>
      <w:r w:rsidR="00116378" w:rsidRPr="001B3772">
        <w:t xml:space="preserve"> (e.g. to heat events,</w:t>
      </w:r>
      <w:r w:rsidR="00A1606D" w:rsidRPr="001B3772">
        <w:t xml:space="preserve"> reduced air quality, vector borne disease,</w:t>
      </w:r>
      <w:r w:rsidR="00116378" w:rsidRPr="001B3772">
        <w:t xml:space="preserve"> floods, drought, fire, extreme weather</w:t>
      </w:r>
      <w:r w:rsidR="00A1606D" w:rsidRPr="001B3772">
        <w:t>, changes in food production and water quality, social impacts of displacement and exposure of vulnerable populations</w:t>
      </w:r>
      <w:r w:rsidR="00116378" w:rsidRPr="001B3772">
        <w:t>)</w:t>
      </w:r>
      <w:r w:rsidR="00A1606D" w:rsidRPr="001B3772">
        <w:t xml:space="preserve">.  </w:t>
      </w:r>
      <w:r w:rsidR="001253C4" w:rsidRPr="001B3772">
        <w:t>This includes supporting</w:t>
      </w:r>
      <w:r w:rsidR="006B5419" w:rsidRPr="001B3772">
        <w:t xml:space="preserve"> </w:t>
      </w:r>
      <w:r w:rsidRPr="001B3772">
        <w:t xml:space="preserve">efforts to standardize interoperable interfaces for </w:t>
      </w:r>
      <w:r w:rsidR="001253C4" w:rsidRPr="001B3772">
        <w:t xml:space="preserve">health and climate models at a scale appropriate to decision making (regional and temporal) while protecting privacy of personal health information.  </w:t>
      </w:r>
      <w:r w:rsidRPr="001B3772">
        <w:t>Some c</w:t>
      </w:r>
      <w:r w:rsidR="00A1606D" w:rsidRPr="001B3772">
        <w:t xml:space="preserve">limate sensitive diseases include: </w:t>
      </w:r>
      <w:r w:rsidRPr="001B3772">
        <w:t xml:space="preserve">chronic </w:t>
      </w:r>
      <w:r w:rsidR="00A1606D" w:rsidRPr="001B3772">
        <w:t>respiratory</w:t>
      </w:r>
      <w:r w:rsidRPr="001B3772">
        <w:t xml:space="preserve"> illness</w:t>
      </w:r>
      <w:r w:rsidR="00A1606D" w:rsidRPr="001B3772">
        <w:t xml:space="preserve">, such as </w:t>
      </w:r>
      <w:r w:rsidR="001253C4" w:rsidRPr="001B3772">
        <w:t xml:space="preserve">asthma, chronic bronchitis, </w:t>
      </w:r>
      <w:r w:rsidRPr="001B3772">
        <w:t xml:space="preserve">and communicable </w:t>
      </w:r>
      <w:r w:rsidR="00A1606D" w:rsidRPr="001B3772">
        <w:t xml:space="preserve">influenza; </w:t>
      </w:r>
      <w:r w:rsidR="001253C4" w:rsidRPr="001B3772">
        <w:t xml:space="preserve">as well as other infectious diseases like </w:t>
      </w:r>
      <w:r w:rsidR="00A50053" w:rsidRPr="001B3772">
        <w:t>West Nile Virus, cholera,</w:t>
      </w:r>
      <w:r w:rsidR="00A1606D" w:rsidRPr="001B3772">
        <w:t xml:space="preserve"> malaria; meningococcal meningitis, dengue </w:t>
      </w:r>
      <w:r w:rsidRPr="001B3772">
        <w:t>hemorrhagic</w:t>
      </w:r>
      <w:r w:rsidR="00A1606D" w:rsidRPr="001B3772">
        <w:t xml:space="preserve"> fever, </w:t>
      </w:r>
      <w:r w:rsidRPr="001B3772">
        <w:t>encephalitis</w:t>
      </w:r>
      <w:r w:rsidR="00A1606D" w:rsidRPr="001B3772">
        <w:t xml:space="preserve">, </w:t>
      </w:r>
      <w:r w:rsidRPr="001B3772">
        <w:t xml:space="preserve">rift valley fever, </w:t>
      </w:r>
      <w:r w:rsidR="006A718F" w:rsidRPr="001B3772">
        <w:t>Yellow fever</w:t>
      </w:r>
      <w:r w:rsidRPr="001B3772">
        <w:t>.</w:t>
      </w:r>
    </w:p>
    <w:p w:rsidR="00CC7AFD" w:rsidRPr="002E0BC0" w:rsidRDefault="002E0BC0" w:rsidP="002E0BC0">
      <w:pPr>
        <w:spacing w:after="0" w:line="240" w:lineRule="auto"/>
        <w:rPr>
          <w:rFonts w:ascii="Calibri" w:hAnsi="Calibri"/>
        </w:rPr>
      </w:pPr>
      <w:r>
        <w:rPr>
          <w:b/>
          <w:i/>
        </w:rPr>
        <w:t>See Appendix for Further Statements of Need</w:t>
      </w:r>
      <w:r w:rsidR="00A005A1" w:rsidRPr="002E0BC0">
        <w:rPr>
          <w:b/>
          <w:i/>
        </w:rPr>
        <w:t xml:space="preserve"> </w:t>
      </w:r>
    </w:p>
    <w:p w:rsidR="00006418" w:rsidRDefault="00006418" w:rsidP="00DF1F4E">
      <w:pPr>
        <w:pStyle w:val="Heading2"/>
      </w:pPr>
      <w:r>
        <w:t xml:space="preserve">Pertinent </w:t>
      </w:r>
      <w:r w:rsidR="00116378">
        <w:t>OGC Standards</w:t>
      </w:r>
    </w:p>
    <w:p w:rsidR="00CC7AFD" w:rsidRDefault="00F50B87" w:rsidP="00CC7AFD">
      <w:pPr>
        <w:pStyle w:val="PlainText"/>
      </w:pPr>
      <w:r>
        <w:t>Many existing OGC standards may</w:t>
      </w:r>
      <w:r w:rsidR="00DF1F4E">
        <w:t xml:space="preserve"> support health </w:t>
      </w:r>
      <w:r w:rsidR="00E54C6F">
        <w:t xml:space="preserve">end </w:t>
      </w:r>
      <w:r>
        <w:t>use</w:t>
      </w:r>
      <w:r w:rsidR="00E54C6F">
        <w:t xml:space="preserve"> applications</w:t>
      </w:r>
      <w:r w:rsidR="00DF1F4E" w:rsidRPr="00A005A1">
        <w:t>.</w:t>
      </w:r>
      <w:r w:rsidR="00E54C6F">
        <w:t xml:space="preserve">  In addition, the</w:t>
      </w:r>
      <w:r w:rsidR="00DF1F4E">
        <w:t xml:space="preserve"> Health Domain Working Group w</w:t>
      </w:r>
      <w:r w:rsidR="00E54C6F">
        <w:t>ill</w:t>
      </w:r>
      <w:r w:rsidR="00DF1F4E">
        <w:t xml:space="preserve"> assimilate inputs for new encodings, interfaces, </w:t>
      </w:r>
      <w:r>
        <w:t xml:space="preserve">applications </w:t>
      </w:r>
      <w:r w:rsidR="00DF1F4E">
        <w:t xml:space="preserve">and </w:t>
      </w:r>
      <w:r>
        <w:t xml:space="preserve">extensions to geospatial </w:t>
      </w:r>
      <w:r w:rsidR="00DF1F4E">
        <w:t>standards serving the marketplace.</w:t>
      </w:r>
      <w:r w:rsidRPr="00F50B87">
        <w:t xml:space="preserve"> </w:t>
      </w:r>
      <w:r w:rsidR="00CC7AFD">
        <w:t xml:space="preserve">Some existing OGC standards identified as particularly valuable to the health marketplace include: </w:t>
      </w:r>
    </w:p>
    <w:p w:rsidR="00CC7AFD" w:rsidRDefault="00CC7AFD" w:rsidP="00772B9A">
      <w:pPr>
        <w:pStyle w:val="PlainText"/>
        <w:numPr>
          <w:ilvl w:val="0"/>
          <w:numId w:val="8"/>
        </w:numPr>
      </w:pPr>
      <w:r>
        <w:t>WMS Web Map Service (ISO19128)</w:t>
      </w:r>
    </w:p>
    <w:p w:rsidR="00CC7AFD" w:rsidRDefault="00CC7AFD" w:rsidP="00772B9A">
      <w:pPr>
        <w:pStyle w:val="PlainText"/>
        <w:numPr>
          <w:ilvl w:val="0"/>
          <w:numId w:val="8"/>
        </w:numPr>
      </w:pPr>
      <w:r>
        <w:t>WFS Web Feature Service (ISO19142)</w:t>
      </w:r>
    </w:p>
    <w:p w:rsidR="00CC7AFD" w:rsidRDefault="00CC7AFD" w:rsidP="00772B9A">
      <w:pPr>
        <w:pStyle w:val="PlainText"/>
        <w:numPr>
          <w:ilvl w:val="0"/>
          <w:numId w:val="8"/>
        </w:numPr>
      </w:pPr>
      <w:r>
        <w:t>WPS Web Process Service</w:t>
      </w:r>
    </w:p>
    <w:p w:rsidR="00CC7AFD" w:rsidRDefault="00CC7AFD" w:rsidP="00772B9A">
      <w:pPr>
        <w:pStyle w:val="PlainText"/>
        <w:numPr>
          <w:ilvl w:val="0"/>
          <w:numId w:val="8"/>
        </w:numPr>
      </w:pPr>
      <w:r>
        <w:t xml:space="preserve">WCS, SLD, WXXM, SWE, </w:t>
      </w:r>
      <w:r w:rsidR="002E0BC0">
        <w:t>AR, and others</w:t>
      </w:r>
    </w:p>
    <w:p w:rsidR="00CC7AFD" w:rsidRDefault="00CC7AFD" w:rsidP="00772B9A">
      <w:pPr>
        <w:pStyle w:val="PlainText"/>
        <w:numPr>
          <w:ilvl w:val="0"/>
          <w:numId w:val="8"/>
        </w:numPr>
      </w:pPr>
      <w:r>
        <w:t>GML Geographical Markup Language (ISO19136)</w:t>
      </w:r>
    </w:p>
    <w:p w:rsidR="00CC7AFD" w:rsidRDefault="00CC7AFD" w:rsidP="00772B9A">
      <w:pPr>
        <w:pStyle w:val="PlainText"/>
        <w:numPr>
          <w:ilvl w:val="0"/>
          <w:numId w:val="8"/>
        </w:numPr>
      </w:pPr>
      <w:proofErr w:type="spellStart"/>
      <w:r>
        <w:t>CityGML</w:t>
      </w:r>
      <w:proofErr w:type="spellEnd"/>
    </w:p>
    <w:p w:rsidR="00CC7AFD" w:rsidRDefault="00CC7AFD" w:rsidP="00772B9A">
      <w:pPr>
        <w:pStyle w:val="PlainText"/>
        <w:numPr>
          <w:ilvl w:val="0"/>
          <w:numId w:val="8"/>
        </w:numPr>
      </w:pPr>
      <w:proofErr w:type="spellStart"/>
      <w:r>
        <w:t>IndoorGML</w:t>
      </w:r>
      <w:proofErr w:type="spellEnd"/>
    </w:p>
    <w:p w:rsidR="00CC7AFD" w:rsidRDefault="00CC7AFD" w:rsidP="00772B9A">
      <w:pPr>
        <w:pStyle w:val="PlainText"/>
        <w:numPr>
          <w:ilvl w:val="0"/>
          <w:numId w:val="8"/>
        </w:numPr>
      </w:pPr>
      <w:r>
        <w:t>CSW Catalogue Service</w:t>
      </w:r>
    </w:p>
    <w:p w:rsidR="00CC7AFD" w:rsidRDefault="00CC7AFD" w:rsidP="00772B9A">
      <w:pPr>
        <w:pStyle w:val="PlainText"/>
        <w:numPr>
          <w:ilvl w:val="0"/>
          <w:numId w:val="8"/>
        </w:numPr>
      </w:pPr>
      <w:r>
        <w:t>O&amp;M Observations and Measurement (ISO19156)</w:t>
      </w:r>
    </w:p>
    <w:p w:rsidR="00CC7AFD" w:rsidRDefault="00CC7AFD" w:rsidP="00772B9A">
      <w:pPr>
        <w:pStyle w:val="PlainText"/>
        <w:numPr>
          <w:ilvl w:val="0"/>
          <w:numId w:val="8"/>
        </w:numPr>
      </w:pPr>
      <w:r>
        <w:t>Sensor Web Enablement (SWE) for Sensor Observation Services (SOS)</w:t>
      </w:r>
    </w:p>
    <w:p w:rsidR="00CC7AFD" w:rsidRDefault="00CC7AFD" w:rsidP="00772B9A">
      <w:pPr>
        <w:pStyle w:val="PlainText"/>
        <w:numPr>
          <w:ilvl w:val="0"/>
          <w:numId w:val="8"/>
        </w:numPr>
      </w:pPr>
      <w:r>
        <w:t>SLE Styled Layer Descriptor</w:t>
      </w:r>
    </w:p>
    <w:p w:rsidR="00CC7AFD" w:rsidRDefault="00CC7AFD" w:rsidP="00772B9A">
      <w:pPr>
        <w:pStyle w:val="PlainText"/>
        <w:numPr>
          <w:ilvl w:val="0"/>
          <w:numId w:val="8"/>
        </w:numPr>
      </w:pPr>
      <w:r>
        <w:t>KML Keyhole Markup Language</w:t>
      </w:r>
    </w:p>
    <w:p w:rsidR="00CC7AFD" w:rsidRDefault="00CC7AFD" w:rsidP="00772B9A">
      <w:pPr>
        <w:pStyle w:val="PlainText"/>
        <w:numPr>
          <w:ilvl w:val="0"/>
          <w:numId w:val="8"/>
        </w:numPr>
      </w:pPr>
      <w:r>
        <w:t>OGC Reference Architecture</w:t>
      </w:r>
    </w:p>
    <w:p w:rsidR="00CC7AFD" w:rsidRDefault="00CC7AFD" w:rsidP="00772B9A">
      <w:pPr>
        <w:pStyle w:val="PlainText"/>
        <w:numPr>
          <w:ilvl w:val="0"/>
          <w:numId w:val="8"/>
        </w:numPr>
      </w:pPr>
      <w:r>
        <w:t>Note: this is non-exhaustive, and best practice implementations of OGC standards may necessarily include their optional specifications (e.g. time tag), particular combinations/workflow sequences, new extensions and implementation profiles</w:t>
      </w:r>
    </w:p>
    <w:p w:rsidR="00CC7AFD" w:rsidRDefault="00CC7AFD" w:rsidP="00772B9A">
      <w:pPr>
        <w:pStyle w:val="PlainText"/>
        <w:numPr>
          <w:ilvl w:val="0"/>
          <w:numId w:val="8"/>
        </w:numPr>
      </w:pPr>
      <w:r>
        <w:t xml:space="preserve">Note: new OGC standards may be introduced via the Working Group </w:t>
      </w:r>
    </w:p>
    <w:p w:rsidR="00006418" w:rsidRDefault="00C118CB" w:rsidP="00DF1F4E">
      <w:pPr>
        <w:pStyle w:val="Heading2"/>
      </w:pPr>
      <w:r>
        <w:t xml:space="preserve">Pertinent OGC Partners, </w:t>
      </w:r>
      <w:r w:rsidR="00006418">
        <w:t>Members</w:t>
      </w:r>
      <w:r>
        <w:t>, Alliances</w:t>
      </w:r>
      <w:r w:rsidR="00C51D79">
        <w:t>, and SWGs</w:t>
      </w:r>
    </w:p>
    <w:p w:rsidR="009F459A" w:rsidRPr="001253C4" w:rsidRDefault="001B3772" w:rsidP="009F459A">
      <w:pPr>
        <w:spacing w:after="0" w:line="240" w:lineRule="auto"/>
      </w:pPr>
      <w:r>
        <w:t>Any OGC member may participate</w:t>
      </w:r>
      <w:r w:rsidR="002677C2">
        <w:t>, chair, co-chair, and make motions,</w:t>
      </w:r>
      <w:r>
        <w:t xml:space="preserve"> in the Health DWG.</w:t>
      </w:r>
      <w:r w:rsidR="00C51D79">
        <w:t xml:space="preserve"> </w:t>
      </w:r>
      <w:r>
        <w:t xml:space="preserve"> </w:t>
      </w:r>
      <w:r w:rsidR="009F459A" w:rsidRPr="009F459A">
        <w:rPr>
          <w:rFonts w:ascii="Calibri" w:eastAsia="Times New Roman" w:hAnsi="Calibri"/>
          <w:szCs w:val="24"/>
        </w:rPr>
        <w:t>It should be noted that h</w:t>
      </w:r>
      <w:r w:rsidR="009F459A" w:rsidRPr="009F459A">
        <w:rPr>
          <w:rFonts w:ascii="Calibri" w:eastAsia="Times New Roman" w:hAnsi="Calibri"/>
          <w:color w:val="000000"/>
          <w:szCs w:val="24"/>
        </w:rPr>
        <w:t>ealth applications may crosscut with possible work activities in the Geosciences and Environment, Emergency and Disaster Management, and Law Enforcement and Public Safety Domain Working Groups</w:t>
      </w:r>
      <w:r w:rsidR="00E54C6F">
        <w:rPr>
          <w:rFonts w:ascii="Calibri" w:eastAsia="Times New Roman" w:hAnsi="Calibri"/>
          <w:color w:val="000000"/>
          <w:szCs w:val="24"/>
        </w:rPr>
        <w:t>, other OGC DWGs/SWGs</w:t>
      </w:r>
      <w:r w:rsidR="009F459A" w:rsidRPr="009F459A">
        <w:rPr>
          <w:rFonts w:ascii="Calibri" w:eastAsia="Times New Roman" w:hAnsi="Calibri"/>
          <w:color w:val="000000"/>
          <w:szCs w:val="24"/>
        </w:rPr>
        <w:t>.</w:t>
      </w:r>
    </w:p>
    <w:p w:rsidR="00006418" w:rsidRDefault="00006418" w:rsidP="00DF1F4E">
      <w:pPr>
        <w:pStyle w:val="Heading2"/>
      </w:pPr>
      <w:r>
        <w:t>Pertinent Non-Member Agencies</w:t>
      </w:r>
    </w:p>
    <w:p w:rsidR="00CC7AFD" w:rsidRDefault="00CC7AFD" w:rsidP="00CC7AFD">
      <w:pPr>
        <w:spacing w:after="0" w:line="240" w:lineRule="auto"/>
      </w:pPr>
      <w:r>
        <w:t>Non-member participants may include:</w:t>
      </w:r>
    </w:p>
    <w:p w:rsidR="00006418" w:rsidRDefault="00A50053" w:rsidP="00C51D79">
      <w:pPr>
        <w:pStyle w:val="ListParagraph"/>
        <w:numPr>
          <w:ilvl w:val="0"/>
          <w:numId w:val="3"/>
        </w:numPr>
        <w:spacing w:after="0" w:line="240" w:lineRule="auto"/>
      </w:pPr>
      <w:r>
        <w:t>World Health Organization</w:t>
      </w:r>
    </w:p>
    <w:p w:rsidR="00A44B8E" w:rsidRDefault="00116378" w:rsidP="00C51D79">
      <w:pPr>
        <w:pStyle w:val="ListParagraph"/>
        <w:numPr>
          <w:ilvl w:val="0"/>
          <w:numId w:val="3"/>
        </w:numPr>
        <w:spacing w:after="0" w:line="240" w:lineRule="auto"/>
      </w:pPr>
      <w:r>
        <w:t xml:space="preserve">National and International </w:t>
      </w:r>
      <w:r w:rsidR="00A44B8E">
        <w:t>Disease Surveillance Agencies</w:t>
      </w:r>
    </w:p>
    <w:p w:rsidR="00A44B8E" w:rsidRDefault="00A44B8E" w:rsidP="00C51D79">
      <w:pPr>
        <w:pStyle w:val="ListParagraph"/>
        <w:numPr>
          <w:ilvl w:val="0"/>
          <w:numId w:val="3"/>
        </w:numPr>
        <w:spacing w:after="0" w:line="240" w:lineRule="auto"/>
      </w:pPr>
      <w:r>
        <w:t>Health Research Institutes</w:t>
      </w:r>
    </w:p>
    <w:p w:rsidR="00A44B8E" w:rsidRDefault="00A44B8E" w:rsidP="00C51D79">
      <w:pPr>
        <w:pStyle w:val="ListParagraph"/>
        <w:numPr>
          <w:ilvl w:val="0"/>
          <w:numId w:val="3"/>
        </w:numPr>
        <w:spacing w:after="0" w:line="240" w:lineRule="auto"/>
      </w:pPr>
      <w:r>
        <w:t>Provincial/State Health Authorities</w:t>
      </w:r>
    </w:p>
    <w:p w:rsidR="00116378" w:rsidRDefault="00116378" w:rsidP="00C51D79">
      <w:pPr>
        <w:pStyle w:val="ListParagraph"/>
        <w:numPr>
          <w:ilvl w:val="0"/>
          <w:numId w:val="3"/>
        </w:numPr>
        <w:spacing w:after="0" w:line="240" w:lineRule="auto"/>
      </w:pPr>
      <w:r>
        <w:t>Health Informatics solution providers</w:t>
      </w:r>
    </w:p>
    <w:p w:rsidR="00116378" w:rsidRDefault="00116378" w:rsidP="00C51D79">
      <w:pPr>
        <w:pStyle w:val="ListParagraph"/>
        <w:numPr>
          <w:ilvl w:val="0"/>
          <w:numId w:val="3"/>
        </w:numPr>
        <w:spacing w:after="0" w:line="240" w:lineRule="auto"/>
      </w:pPr>
      <w:r>
        <w:t>Professional Health / Medical Associations</w:t>
      </w:r>
    </w:p>
    <w:p w:rsidR="00A1606D" w:rsidRDefault="00116378" w:rsidP="00C51D79">
      <w:pPr>
        <w:pStyle w:val="ListParagraph"/>
        <w:numPr>
          <w:ilvl w:val="0"/>
          <w:numId w:val="3"/>
        </w:numPr>
        <w:spacing w:after="0" w:line="240" w:lineRule="auto"/>
      </w:pPr>
      <w:r>
        <w:t>Academic Institutions, Nursing Faculty</w:t>
      </w:r>
      <w:r w:rsidR="003A3C6B">
        <w:t xml:space="preserve">, </w:t>
      </w:r>
      <w:proofErr w:type="spellStart"/>
      <w:r w:rsidR="003A3C6B">
        <w:t>Geomatics</w:t>
      </w:r>
      <w:proofErr w:type="spellEnd"/>
      <w:r w:rsidR="003A3C6B">
        <w:t xml:space="preserve"> Faculty Computer Sciences Faculty</w:t>
      </w:r>
    </w:p>
    <w:p w:rsidR="001B3772" w:rsidRDefault="001B3772" w:rsidP="001B3772">
      <w:pPr>
        <w:spacing w:after="0" w:line="240" w:lineRule="auto"/>
      </w:pPr>
      <w:r>
        <w:t>Non-member participants may consider membership with OGC - see</w:t>
      </w:r>
      <w:r w:rsidRPr="001B3772">
        <w:t xml:space="preserve"> </w:t>
      </w:r>
      <w:hyperlink r:id="rId8" w:history="1">
        <w:r w:rsidRPr="002867CC">
          <w:rPr>
            <w:rStyle w:val="Hyperlink"/>
          </w:rPr>
          <w:t>http://www.opengeospatial.org/ogc/join/levels</w:t>
        </w:r>
      </w:hyperlink>
      <w:r>
        <w:t xml:space="preserve">  </w:t>
      </w:r>
    </w:p>
    <w:p w:rsidR="00CC7AFD" w:rsidRDefault="00CC7AFD" w:rsidP="00CC7AFD">
      <w:pPr>
        <w:pStyle w:val="Heading2"/>
      </w:pPr>
      <w:r>
        <w:t>Additional Resources</w:t>
      </w:r>
    </w:p>
    <w:p w:rsidR="001B3772" w:rsidRPr="001B3772" w:rsidRDefault="001B3772" w:rsidP="001B3772">
      <w:pPr>
        <w:rPr>
          <w:rFonts w:ascii="Calibri" w:hAnsi="Calibri"/>
        </w:rPr>
      </w:pPr>
      <w:r>
        <w:rPr>
          <w:rFonts w:ascii="Calibri" w:hAnsi="Calibri"/>
        </w:rPr>
        <w:t>Resources pertinent to the OGC Health Domain Working Group will be added to a common Wiki repository. An OGC Health DWG List-serve will enable the exchange of resources among subscribers to the List-serve.</w:t>
      </w:r>
    </w:p>
    <w:p w:rsidR="001B3772" w:rsidRPr="001B3772" w:rsidRDefault="001B3772" w:rsidP="001B3772">
      <w:pPr>
        <w:pStyle w:val="ListParagraph"/>
        <w:numPr>
          <w:ilvl w:val="0"/>
          <w:numId w:val="4"/>
        </w:numPr>
        <w:rPr>
          <w:rFonts w:ascii="Calibri" w:hAnsi="Calibri"/>
        </w:rPr>
      </w:pPr>
      <w:r w:rsidRPr="001B3772">
        <w:rPr>
          <w:rFonts w:ascii="Calibri" w:hAnsi="Calibri"/>
          <w:b/>
        </w:rPr>
        <w:lastRenderedPageBreak/>
        <w:t>Article: “</w:t>
      </w:r>
      <w:r w:rsidRPr="001B3772">
        <w:rPr>
          <w:rFonts w:ascii="Calibri" w:hAnsi="Calibri"/>
          <w:b/>
          <w:i/>
          <w:iCs/>
        </w:rPr>
        <w:t>From Reactive to Preventative Health Care – a Role for Open Map Standards</w:t>
      </w:r>
      <w:r w:rsidRPr="001B3772">
        <w:rPr>
          <w:rFonts w:ascii="Calibri" w:hAnsi="Calibri"/>
          <w:b/>
        </w:rPr>
        <w:t>”, on OGC Blog:</w:t>
      </w:r>
      <w:r w:rsidRPr="001B3772">
        <w:rPr>
          <w:rStyle w:val="apple-converted-space"/>
          <w:rFonts w:ascii="Calibri" w:hAnsi="Calibri"/>
        </w:rPr>
        <w:t> </w:t>
      </w:r>
      <w:hyperlink r:id="rId9" w:history="1">
        <w:r w:rsidRPr="001B3772">
          <w:rPr>
            <w:rStyle w:val="Hyperlink"/>
            <w:rFonts w:ascii="Calibri" w:hAnsi="Calibri"/>
          </w:rPr>
          <w:t>http://www.opengeospatial.org/blog/1824</w:t>
        </w:r>
      </w:hyperlink>
      <w:r w:rsidRPr="001B3772">
        <w:rPr>
          <w:rFonts w:ascii="Calibri" w:hAnsi="Calibri"/>
        </w:rPr>
        <w:t> </w:t>
      </w:r>
      <w:r w:rsidRPr="001B3772">
        <w:rPr>
          <w:rStyle w:val="apple-converted-space"/>
          <w:rFonts w:ascii="Calibri" w:hAnsi="Calibri"/>
        </w:rPr>
        <w:t> </w:t>
      </w:r>
      <w:r w:rsidRPr="001B3772">
        <w:rPr>
          <w:rFonts w:ascii="Calibri" w:hAnsi="Calibri"/>
        </w:rPr>
        <w:br/>
        <w:t xml:space="preserve">or in </w:t>
      </w:r>
      <w:r w:rsidRPr="001B3772">
        <w:rPr>
          <w:rFonts w:ascii="Calibri" w:hAnsi="Calibri"/>
          <w:b/>
        </w:rPr>
        <w:t>Open Health News</w:t>
      </w:r>
      <w:r w:rsidRPr="001B3772">
        <w:rPr>
          <w:rFonts w:ascii="Calibri" w:hAnsi="Calibri"/>
        </w:rPr>
        <w:t>:</w:t>
      </w:r>
      <w:r w:rsidRPr="001B3772">
        <w:rPr>
          <w:rStyle w:val="apple-converted-space"/>
          <w:rFonts w:ascii="Calibri" w:hAnsi="Calibri"/>
        </w:rPr>
        <w:t> </w:t>
      </w:r>
      <w:hyperlink r:id="rId10" w:history="1">
        <w:r w:rsidRPr="001B3772">
          <w:rPr>
            <w:rStyle w:val="Hyperlink"/>
            <w:rFonts w:ascii="Calibri" w:hAnsi="Calibri"/>
          </w:rPr>
          <w:t>http://www.openhealthnews.com/hotnews/reactive-preventative-health-care-%E2%80%93-role-open-map-standards</w:t>
        </w:r>
      </w:hyperlink>
    </w:p>
    <w:p w:rsidR="00CC7AFD" w:rsidRPr="00DF1F4E" w:rsidRDefault="00CC7AFD" w:rsidP="00CC7AFD">
      <w:pPr>
        <w:pStyle w:val="ListParagraph"/>
        <w:numPr>
          <w:ilvl w:val="0"/>
          <w:numId w:val="4"/>
        </w:numPr>
        <w:spacing w:after="0" w:line="240" w:lineRule="auto"/>
        <w:rPr>
          <w:color w:val="1F497D"/>
        </w:rPr>
      </w:pPr>
      <w:r w:rsidRPr="00C51D79">
        <w:rPr>
          <w:b/>
        </w:rPr>
        <w:t>S</w:t>
      </w:r>
      <w:r w:rsidRPr="006B5419">
        <w:rPr>
          <w:b/>
        </w:rPr>
        <w:t>erving Public Health through Open Health Mapping Services</w:t>
      </w:r>
      <w:r w:rsidRPr="00BF4DC0">
        <w:t xml:space="preserve">, </w:t>
      </w:r>
      <w:proofErr w:type="spellStart"/>
      <w:r w:rsidRPr="00BF4DC0">
        <w:t>GovFuture</w:t>
      </w:r>
      <w:proofErr w:type="spellEnd"/>
      <w:r w:rsidRPr="00BF4DC0">
        <w:t xml:space="preserve"> webinar: </w:t>
      </w:r>
      <w:hyperlink r:id="rId11" w:history="1">
        <w:r w:rsidRPr="00BF4DC0">
          <w:rPr>
            <w:rStyle w:val="Hyperlink"/>
          </w:rPr>
          <w:t>https://www2.gotomeeting.com/register/803074466</w:t>
        </w:r>
      </w:hyperlink>
      <w:r w:rsidRPr="00BF4DC0">
        <w:t xml:space="preserve"> (recording)</w:t>
      </w:r>
      <w:r w:rsidRPr="00DF1F4E">
        <w:rPr>
          <w:color w:val="1F497D"/>
        </w:rPr>
        <w:t xml:space="preserve">  </w:t>
      </w:r>
      <w:r w:rsidRPr="00DB1556">
        <w:t>This included a presentation on the implementation of OGC WMS, WFS, WPS, and Health XML Schema, for use/applications for</w:t>
      </w:r>
      <w:r>
        <w:t xml:space="preserve"> cross-border</w:t>
      </w:r>
      <w:r w:rsidRPr="00DB1556">
        <w:t xml:space="preserve"> </w:t>
      </w:r>
      <w:r>
        <w:t xml:space="preserve">influenza </w:t>
      </w:r>
      <w:r w:rsidRPr="00DB1556">
        <w:t>pandemic, chronic respiratory illness, environmental and community programs.</w:t>
      </w:r>
      <w:r w:rsidRPr="00DF1F4E">
        <w:rPr>
          <w:color w:val="1F497D"/>
        </w:rPr>
        <w:t xml:space="preserve">  </w:t>
      </w:r>
    </w:p>
    <w:p w:rsidR="00CC7AFD" w:rsidRPr="00BF4DC0" w:rsidRDefault="00CC7AFD" w:rsidP="00CC7AFD">
      <w:pPr>
        <w:pStyle w:val="ListParagraph"/>
        <w:numPr>
          <w:ilvl w:val="0"/>
          <w:numId w:val="4"/>
        </w:numPr>
        <w:spacing w:after="0" w:line="240" w:lineRule="auto"/>
      </w:pPr>
      <w:r w:rsidRPr="003A3C6B">
        <w:rPr>
          <w:b/>
        </w:rPr>
        <w:t>Mapping for our health,</w:t>
      </w:r>
      <w:r>
        <w:t xml:space="preserve"> by Eddie Oldfield - a</w:t>
      </w:r>
      <w:r w:rsidRPr="00BF4DC0">
        <w:t>rticle</w:t>
      </w:r>
      <w:r>
        <w:t xml:space="preserve"> in Colleen Young Health Communications Blog </w:t>
      </w:r>
      <w:hyperlink r:id="rId12" w:history="1">
        <w:r w:rsidRPr="00BF4DC0">
          <w:rPr>
            <w:rStyle w:val="Hyperlink"/>
          </w:rPr>
          <w:t>http://cyhealthcommunications.wordpress.com/2012/09/23/mapping-for-our-health/</w:t>
        </w:r>
      </w:hyperlink>
      <w:r w:rsidRPr="00BF4DC0">
        <w:t xml:space="preserve"> </w:t>
      </w:r>
      <w:r>
        <w:br/>
        <w:t xml:space="preserve">Colleen Young, host of this blog supports a Canadian Health Care Social Media network and regular ‘tweet-ups’ or moderated chats online using </w:t>
      </w:r>
      <w:proofErr w:type="spellStart"/>
      <w:r>
        <w:t>hashtag</w:t>
      </w:r>
      <w:proofErr w:type="spellEnd"/>
      <w:r>
        <w:t xml:space="preserve"> #</w:t>
      </w:r>
      <w:proofErr w:type="spellStart"/>
      <w:r>
        <w:t>hcsmca</w:t>
      </w:r>
      <w:proofErr w:type="spellEnd"/>
      <w:r>
        <w:t xml:space="preserve">. </w:t>
      </w:r>
    </w:p>
    <w:p w:rsidR="00CC7AFD" w:rsidRPr="006B5419" w:rsidRDefault="00CC7AFD" w:rsidP="00CC7AFD">
      <w:pPr>
        <w:pStyle w:val="ListParagraph"/>
        <w:numPr>
          <w:ilvl w:val="0"/>
          <w:numId w:val="4"/>
        </w:numPr>
        <w:spacing w:after="0" w:line="240" w:lineRule="auto"/>
        <w:rPr>
          <w:b/>
        </w:rPr>
      </w:pPr>
      <w:r w:rsidRPr="003A3C6B">
        <w:rPr>
          <w:b/>
        </w:rPr>
        <w:t>Towards Web-based representation and processing of health information</w:t>
      </w:r>
      <w:r>
        <w:rPr>
          <w:b/>
        </w:rPr>
        <w:br/>
      </w:r>
      <w:r w:rsidRPr="006B5419">
        <w:rPr>
          <w:rStyle w:val="Strong"/>
          <w:b w:val="0"/>
        </w:rPr>
        <w:t>Sheng Gao</w:t>
      </w:r>
      <w:hyperlink r:id="rId13" w:anchor="ins1" w:history="1">
        <w:r w:rsidRPr="006B5419">
          <w:rPr>
            <w:rStyle w:val="Hyperlink"/>
            <w:b/>
            <w:vertAlign w:val="superscript"/>
          </w:rPr>
          <w:t>1</w:t>
        </w:r>
      </w:hyperlink>
      <w:r w:rsidRPr="006B5419">
        <w:rPr>
          <w:b/>
          <w:vertAlign w:val="superscript"/>
        </w:rPr>
        <w:t>*</w:t>
      </w:r>
      <w:r w:rsidRPr="006B5419">
        <w:rPr>
          <w:b/>
        </w:rPr>
        <w:t xml:space="preserve">, </w:t>
      </w:r>
      <w:proofErr w:type="spellStart"/>
      <w:r w:rsidRPr="006B5419">
        <w:rPr>
          <w:rStyle w:val="Strong"/>
          <w:b w:val="0"/>
        </w:rPr>
        <w:t>Darka</w:t>
      </w:r>
      <w:proofErr w:type="spellEnd"/>
      <w:r w:rsidRPr="006B5419">
        <w:rPr>
          <w:rStyle w:val="Strong"/>
          <w:b w:val="0"/>
        </w:rPr>
        <w:t xml:space="preserve"> Mioc</w:t>
      </w:r>
      <w:hyperlink r:id="rId14" w:anchor="ins1" w:history="1">
        <w:r w:rsidRPr="006B5419">
          <w:rPr>
            <w:rStyle w:val="Hyperlink"/>
            <w:b/>
            <w:vertAlign w:val="superscript"/>
          </w:rPr>
          <w:t>1</w:t>
        </w:r>
      </w:hyperlink>
      <w:r w:rsidRPr="006B5419">
        <w:rPr>
          <w:b/>
        </w:rPr>
        <w:t xml:space="preserve">, </w:t>
      </w:r>
      <w:r w:rsidRPr="006B5419">
        <w:rPr>
          <w:rStyle w:val="Strong"/>
          <w:b w:val="0"/>
        </w:rPr>
        <w:t>Xiaolun Yi</w:t>
      </w:r>
      <w:hyperlink r:id="rId15" w:anchor="ins2" w:history="1">
        <w:r w:rsidRPr="006B5419">
          <w:rPr>
            <w:rStyle w:val="Hyperlink"/>
            <w:b/>
            <w:vertAlign w:val="superscript"/>
          </w:rPr>
          <w:t>2</w:t>
        </w:r>
      </w:hyperlink>
      <w:r w:rsidRPr="006B5419">
        <w:rPr>
          <w:b/>
        </w:rPr>
        <w:t xml:space="preserve">, </w:t>
      </w:r>
      <w:r w:rsidRPr="006B5419">
        <w:rPr>
          <w:rStyle w:val="Strong"/>
          <w:b w:val="0"/>
        </w:rPr>
        <w:t>Francois Anton</w:t>
      </w:r>
      <w:hyperlink r:id="rId16" w:anchor="ins3" w:history="1">
        <w:r w:rsidRPr="006B5419">
          <w:rPr>
            <w:rStyle w:val="Hyperlink"/>
            <w:b/>
            <w:vertAlign w:val="superscript"/>
          </w:rPr>
          <w:t>3</w:t>
        </w:r>
      </w:hyperlink>
      <w:r w:rsidRPr="006B5419">
        <w:rPr>
          <w:b/>
        </w:rPr>
        <w:t xml:space="preserve">, </w:t>
      </w:r>
      <w:r w:rsidRPr="006B5419">
        <w:rPr>
          <w:rStyle w:val="Strong"/>
          <w:b w:val="0"/>
        </w:rPr>
        <w:t>Eddie Oldfield</w:t>
      </w:r>
      <w:hyperlink r:id="rId17" w:anchor="ins4" w:history="1">
        <w:r w:rsidRPr="006B5419">
          <w:rPr>
            <w:rStyle w:val="Hyperlink"/>
            <w:b/>
            <w:vertAlign w:val="superscript"/>
          </w:rPr>
          <w:t>4</w:t>
        </w:r>
      </w:hyperlink>
      <w:r w:rsidRPr="006B5419">
        <w:rPr>
          <w:b/>
        </w:rPr>
        <w:t xml:space="preserve"> and </w:t>
      </w:r>
      <w:r w:rsidRPr="006B5419">
        <w:rPr>
          <w:rStyle w:val="Strong"/>
          <w:b w:val="0"/>
        </w:rPr>
        <w:t>David J Coleman</w:t>
      </w:r>
      <w:hyperlink r:id="rId18" w:anchor="ins1" w:history="1">
        <w:r w:rsidRPr="006B5419">
          <w:rPr>
            <w:rStyle w:val="Hyperlink"/>
            <w:b/>
            <w:vertAlign w:val="superscript"/>
          </w:rPr>
          <w:t>1</w:t>
        </w:r>
      </w:hyperlink>
      <w:r w:rsidRPr="006B5419">
        <w:rPr>
          <w:b/>
        </w:rPr>
        <w:t xml:space="preserve"> </w:t>
      </w:r>
      <w:hyperlink r:id="rId19" w:history="1">
        <w:r w:rsidRPr="00BF4DC0">
          <w:rPr>
            <w:rStyle w:val="Hyperlink"/>
          </w:rPr>
          <w:t>http://www.ij-healthgeographics.com/content/8/1/3</w:t>
        </w:r>
      </w:hyperlink>
      <w:r w:rsidRPr="00BF4DC0">
        <w:t xml:space="preserve"> </w:t>
      </w:r>
      <w:r>
        <w:t xml:space="preserve">International Journal of Health </w:t>
      </w:r>
      <w:proofErr w:type="spellStart"/>
      <w:r>
        <w:t>Geographics</w:t>
      </w:r>
      <w:proofErr w:type="spellEnd"/>
    </w:p>
    <w:p w:rsidR="00CC7AFD" w:rsidRDefault="00CC7AFD" w:rsidP="00CC7AFD">
      <w:pPr>
        <w:pStyle w:val="ListParagraph"/>
        <w:numPr>
          <w:ilvl w:val="0"/>
          <w:numId w:val="4"/>
        </w:numPr>
        <w:spacing w:after="0" w:line="240" w:lineRule="auto"/>
      </w:pPr>
      <w:r w:rsidRPr="003A3C6B">
        <w:rPr>
          <w:b/>
        </w:rPr>
        <w:t>The Canadian Geospatial Data Infrastructure and Public Health:</w:t>
      </w:r>
      <w:r>
        <w:t xml:space="preserve"> </w:t>
      </w:r>
      <w:hyperlink r:id="rId20" w:history="1">
        <w:r w:rsidRPr="00BB4C03">
          <w:rPr>
            <w:rStyle w:val="Hyperlink"/>
          </w:rPr>
          <w:t>http://ow.ly/d/goa</w:t>
        </w:r>
      </w:hyperlink>
      <w:r>
        <w:t xml:space="preserve"> </w:t>
      </w:r>
      <w:proofErr w:type="gramStart"/>
      <w:r>
        <w:t>A</w:t>
      </w:r>
      <w:proofErr w:type="gramEnd"/>
      <w:r>
        <w:t xml:space="preserve"> report commissioned by </w:t>
      </w:r>
      <w:proofErr w:type="spellStart"/>
      <w:r>
        <w:t>GeoConnections</w:t>
      </w:r>
      <w:proofErr w:type="spellEnd"/>
      <w:r>
        <w:t>, Natural Resources Canada.</w:t>
      </w:r>
    </w:p>
    <w:p w:rsidR="00484157" w:rsidRDefault="001253C4" w:rsidP="00484157">
      <w:pPr>
        <w:pStyle w:val="Heading2"/>
      </w:pPr>
      <w:r w:rsidRPr="006B5419">
        <w:t xml:space="preserve">Please send </w:t>
      </w:r>
      <w:r w:rsidR="00A50053">
        <w:t>Inquiries</w:t>
      </w:r>
      <w:r w:rsidRPr="006B5419">
        <w:t xml:space="preserve"> to: </w:t>
      </w:r>
    </w:p>
    <w:p w:rsidR="00484157" w:rsidRDefault="001253C4" w:rsidP="00A50053">
      <w:pPr>
        <w:spacing w:after="0" w:line="240" w:lineRule="auto"/>
      </w:pPr>
      <w:r>
        <w:t xml:space="preserve">Eddie Oldfield, </w:t>
      </w:r>
      <w:r w:rsidR="00772B9A">
        <w:t>Owner/Principal</w:t>
      </w:r>
      <w:r>
        <w:t>, Spatial</w:t>
      </w:r>
      <w:r w:rsidR="00772B9A">
        <w:t xml:space="preserve"> Quest</w:t>
      </w:r>
      <w:r w:rsidR="00484157">
        <w:t xml:space="preserve"> Solutions</w:t>
      </w:r>
      <w:r w:rsidR="00A50053">
        <w:t xml:space="preserve"> </w:t>
      </w:r>
      <w:r w:rsidR="00484157">
        <w:t xml:space="preserve">               </w:t>
      </w:r>
    </w:p>
    <w:p w:rsidR="00A50053" w:rsidRPr="00484157" w:rsidRDefault="00A50053" w:rsidP="00A50053">
      <w:pPr>
        <w:spacing w:after="0" w:line="240" w:lineRule="auto"/>
      </w:pPr>
      <w:r w:rsidRPr="00484157">
        <w:t>Phone:</w:t>
      </w:r>
      <w:r>
        <w:t xml:space="preserve"> (506) 453-0887      </w:t>
      </w:r>
      <w:r w:rsidR="00484157">
        <w:t xml:space="preserve">          </w:t>
      </w:r>
      <w:r w:rsidR="00484157">
        <w:tab/>
      </w:r>
      <w:r w:rsidRPr="00484157">
        <w:t>Email:</w:t>
      </w:r>
      <w:r>
        <w:t xml:space="preserve"> </w:t>
      </w:r>
      <w:hyperlink r:id="rId21" w:history="1">
        <w:r w:rsidRPr="00BB4C03">
          <w:rPr>
            <w:rStyle w:val="Hyperlink"/>
          </w:rPr>
          <w:t>eoldfield@bellaliant.net</w:t>
        </w:r>
      </w:hyperlink>
      <w:r>
        <w:t xml:space="preserve"> </w:t>
      </w:r>
    </w:p>
    <w:p w:rsidR="00A50053" w:rsidRDefault="00A50053" w:rsidP="00A50053">
      <w:pPr>
        <w:spacing w:after="0" w:line="240" w:lineRule="auto"/>
      </w:pPr>
      <w:r w:rsidRPr="00484157">
        <w:t>Mailing Address:</w:t>
      </w:r>
      <w:r>
        <w:rPr>
          <w:b/>
        </w:rPr>
        <w:t xml:space="preserve"> </w:t>
      </w:r>
      <w:r>
        <w:t>1 Hermitage Court, Fredericton, N</w:t>
      </w:r>
      <w:r w:rsidR="00484157">
        <w:t xml:space="preserve">ew </w:t>
      </w:r>
      <w:r>
        <w:t>B</w:t>
      </w:r>
      <w:r w:rsidR="00484157">
        <w:t>runswick</w:t>
      </w:r>
      <w:r>
        <w:t>, Canada, E3B2P2</w:t>
      </w:r>
    </w:p>
    <w:p w:rsidR="00484157" w:rsidRDefault="00484157" w:rsidP="00C51D79">
      <w:pPr>
        <w:spacing w:after="0" w:line="240" w:lineRule="auto"/>
      </w:pPr>
    </w:p>
    <w:p w:rsidR="00484157" w:rsidRDefault="00A50053" w:rsidP="00C51D79">
      <w:pPr>
        <w:spacing w:after="0" w:line="240" w:lineRule="auto"/>
      </w:pPr>
      <w:r>
        <w:t>Edd</w:t>
      </w:r>
      <w:r w:rsidR="00484157">
        <w:t>ie Oldfield is a m</w:t>
      </w:r>
      <w:r>
        <w:t>ember of OGC;</w:t>
      </w:r>
      <w:r w:rsidR="00484157">
        <w:t xml:space="preserve"> </w:t>
      </w:r>
      <w:r w:rsidR="001253C4">
        <w:t>Member, Resilient Communities Working Group, National Platform for Disaster Risk Reduction</w:t>
      </w:r>
      <w:r w:rsidR="00484157">
        <w:t xml:space="preserve"> (Canada)</w:t>
      </w:r>
      <w:r w:rsidR="001253C4">
        <w:t>.</w:t>
      </w:r>
      <w:r w:rsidR="00484157">
        <w:t xml:space="preserve"> </w:t>
      </w:r>
      <w:r w:rsidR="002E0BC0">
        <w:t xml:space="preserve">Previously, </w:t>
      </w:r>
      <w:r w:rsidR="00772B9A">
        <w:t>Director of NB Climate Change Hub at New Brunswick Lung Association (12 years);</w:t>
      </w:r>
    </w:p>
    <w:p w:rsidR="002F12BA" w:rsidRDefault="00484157" w:rsidP="00C51D79">
      <w:pPr>
        <w:spacing w:after="0" w:line="240" w:lineRule="auto"/>
        <w:rPr>
          <w:rStyle w:val="Hyperlink"/>
        </w:rPr>
      </w:pPr>
      <w:r>
        <w:rPr>
          <w:b/>
        </w:rPr>
        <w:t>Full b</w:t>
      </w:r>
      <w:r w:rsidR="001253C4" w:rsidRPr="006A718F">
        <w:rPr>
          <w:b/>
        </w:rPr>
        <w:t>io on LinkedIn:</w:t>
      </w:r>
      <w:r w:rsidR="001253C4" w:rsidRPr="006A718F">
        <w:t xml:space="preserve"> </w:t>
      </w:r>
      <w:hyperlink r:id="rId22" w:history="1">
        <w:r w:rsidR="001253C4" w:rsidRPr="00BB4C03">
          <w:rPr>
            <w:rStyle w:val="Hyperlink"/>
          </w:rPr>
          <w:t>http://ca.linkedin.com/pub/eddie-oldfield/1/bb9/587/</w:t>
        </w:r>
      </w:hyperlink>
    </w:p>
    <w:p w:rsidR="002E0BC0" w:rsidRDefault="002E0BC0" w:rsidP="002E0BC0">
      <w:pPr>
        <w:pStyle w:val="Heading2"/>
      </w:pPr>
      <w:r>
        <w:t>Appendix</w:t>
      </w:r>
      <w:r w:rsidRPr="006B5419">
        <w:t xml:space="preserve">: </w:t>
      </w:r>
    </w:p>
    <w:p w:rsidR="002E0BC0" w:rsidRPr="001967E7" w:rsidRDefault="002E0BC0" w:rsidP="002E0BC0">
      <w:pPr>
        <w:spacing w:after="0" w:line="240" w:lineRule="auto"/>
        <w:rPr>
          <w:b/>
        </w:rPr>
      </w:pPr>
      <w:r w:rsidRPr="001967E7">
        <w:rPr>
          <w:b/>
        </w:rPr>
        <w:t>Further Statements of Need that may be addressed by the proposed OGC Health DWG:</w:t>
      </w:r>
    </w:p>
    <w:p w:rsidR="002E0BC0" w:rsidRPr="001967E7" w:rsidRDefault="002E0BC0" w:rsidP="002E0BC0">
      <w:pPr>
        <w:spacing w:after="0" w:line="240" w:lineRule="auto"/>
        <w:rPr>
          <w:b/>
        </w:rPr>
      </w:pPr>
    </w:p>
    <w:p w:rsidR="001967E7" w:rsidRPr="001967E7" w:rsidRDefault="001967E7" w:rsidP="002E0BC0">
      <w:pPr>
        <w:spacing w:after="0" w:line="240" w:lineRule="auto"/>
        <w:rPr>
          <w:b/>
        </w:rPr>
      </w:pPr>
      <w:r>
        <w:rPr>
          <w:b/>
        </w:rPr>
        <w:t xml:space="preserve">Of </w:t>
      </w:r>
      <w:r w:rsidRPr="001967E7">
        <w:rPr>
          <w:b/>
        </w:rPr>
        <w:t>Technical</w:t>
      </w:r>
      <w:r>
        <w:rPr>
          <w:b/>
        </w:rPr>
        <w:t xml:space="preserve"> Nature</w:t>
      </w:r>
      <w:r w:rsidRPr="001967E7">
        <w:rPr>
          <w:b/>
        </w:rPr>
        <w:t>:</w:t>
      </w:r>
    </w:p>
    <w:p w:rsidR="001967E7" w:rsidRPr="001B3772" w:rsidRDefault="001967E7" w:rsidP="001967E7">
      <w:pPr>
        <w:pStyle w:val="ListParagraph"/>
        <w:numPr>
          <w:ilvl w:val="0"/>
          <w:numId w:val="10"/>
        </w:numPr>
      </w:pPr>
      <w:r w:rsidRPr="001B3772">
        <w:t xml:space="preserve">Create a </w:t>
      </w:r>
      <w:proofErr w:type="spellStart"/>
      <w:r w:rsidRPr="001B3772">
        <w:t>queryable</w:t>
      </w:r>
      <w:proofErr w:type="spellEnd"/>
      <w:r w:rsidRPr="001B3772">
        <w:t xml:space="preserve"> catalogue or dictionary of data types, definitions, and sources, useful in the health marketplace (for various types of applications)</w:t>
      </w:r>
    </w:p>
    <w:p w:rsidR="001967E7" w:rsidRDefault="001967E7" w:rsidP="001967E7">
      <w:pPr>
        <w:pStyle w:val="ListParagraph"/>
        <w:numPr>
          <w:ilvl w:val="0"/>
          <w:numId w:val="10"/>
        </w:numPr>
      </w:pPr>
      <w:r w:rsidRPr="001B3772">
        <w:t xml:space="preserve">Create a relational index or </w:t>
      </w:r>
      <w:proofErr w:type="gramStart"/>
      <w:r w:rsidRPr="001B3772">
        <w:t>registry(</w:t>
      </w:r>
      <w:proofErr w:type="gramEnd"/>
      <w:r w:rsidRPr="001B3772">
        <w:t>?) of features, classes, attributes, value ranges, coordinate methodologies, physical data model mappings, semantic ontologies / models, and logical linkages of into and out of several large complex data models.</w:t>
      </w:r>
    </w:p>
    <w:p w:rsidR="001967E7" w:rsidRPr="001B3772" w:rsidRDefault="001967E7" w:rsidP="001967E7">
      <w:pPr>
        <w:pStyle w:val="ListParagraph"/>
        <w:numPr>
          <w:ilvl w:val="0"/>
          <w:numId w:val="10"/>
        </w:numPr>
      </w:pPr>
      <w:r w:rsidRPr="001B3772">
        <w:t xml:space="preserve">Formalize schemas (GML, WFS, WPS, </w:t>
      </w:r>
      <w:proofErr w:type="spellStart"/>
      <w:r w:rsidRPr="001B3772">
        <w:t>etc</w:t>
      </w:r>
      <w:proofErr w:type="spellEnd"/>
      <w:r w:rsidRPr="001B3772">
        <w:t>) and machine-to-machine interoperable interfaces</w:t>
      </w:r>
    </w:p>
    <w:p w:rsidR="001967E7" w:rsidRPr="001B3772" w:rsidRDefault="001967E7" w:rsidP="001967E7">
      <w:pPr>
        <w:pStyle w:val="ListParagraph"/>
        <w:numPr>
          <w:ilvl w:val="0"/>
          <w:numId w:val="10"/>
        </w:numPr>
      </w:pPr>
      <w:r w:rsidRPr="001B3772">
        <w:t>Formalize transfer of coordinate systems / POIs, which are specific in the health domain</w:t>
      </w:r>
    </w:p>
    <w:p w:rsidR="001967E7" w:rsidRDefault="001967E7" w:rsidP="001967E7">
      <w:pPr>
        <w:pStyle w:val="ListParagraph"/>
        <w:numPr>
          <w:ilvl w:val="0"/>
          <w:numId w:val="10"/>
        </w:numPr>
        <w:spacing w:after="0" w:line="240" w:lineRule="auto"/>
      </w:pPr>
      <w:r w:rsidRPr="001B3772">
        <w:t>Examine potential health applications using building information (BIM), Industry Foundation Classes (IFC), US and Canada National Information Exchange Models (NIEM), and others.</w:t>
      </w:r>
      <w:r w:rsidRPr="001967E7">
        <w:t xml:space="preserve"> </w:t>
      </w:r>
    </w:p>
    <w:p w:rsidR="001967E7" w:rsidRDefault="001967E7" w:rsidP="001967E7">
      <w:pPr>
        <w:pStyle w:val="ListParagraph"/>
        <w:numPr>
          <w:ilvl w:val="0"/>
          <w:numId w:val="10"/>
        </w:numPr>
        <w:spacing w:after="0" w:line="240" w:lineRule="auto"/>
      </w:pPr>
      <w:r w:rsidRPr="001B3772">
        <w:t>Facilitate development and exchange of relational, hierarchical, and semantic models useful in the health marketplace (for various types of applications)</w:t>
      </w:r>
    </w:p>
    <w:p w:rsidR="001967E7" w:rsidRPr="001B3772" w:rsidRDefault="001967E7" w:rsidP="001967E7">
      <w:pPr>
        <w:pStyle w:val="ListParagraph"/>
        <w:numPr>
          <w:ilvl w:val="0"/>
          <w:numId w:val="10"/>
        </w:numPr>
      </w:pPr>
      <w:r w:rsidRPr="001B3772">
        <w:rPr>
          <w:color w:val="000000"/>
        </w:rPr>
        <w:t xml:space="preserve">More and more </w:t>
      </w:r>
      <w:proofErr w:type="spellStart"/>
      <w:r w:rsidRPr="001B3772">
        <w:rPr>
          <w:color w:val="000000"/>
        </w:rPr>
        <w:t>IoT</w:t>
      </w:r>
      <w:proofErr w:type="spellEnd"/>
      <w:r w:rsidRPr="001B3772">
        <w:rPr>
          <w:color w:val="000000"/>
        </w:rPr>
        <w:t xml:space="preserve"> devices, such as wearable sensors, network-enabled weight scale, network-enabled blood pressure monitors, will be used in order to enable the telemedicine vision. As the number of such devices grows, these devices require standards to exchange data and tasking capabilities.  The OGC </w:t>
      </w:r>
      <w:proofErr w:type="spellStart"/>
      <w:r w:rsidRPr="001B3772">
        <w:rPr>
          <w:color w:val="000000"/>
        </w:rPr>
        <w:t>IoT</w:t>
      </w:r>
      <w:proofErr w:type="spellEnd"/>
      <w:r w:rsidRPr="001B3772">
        <w:rPr>
          <w:color w:val="000000"/>
        </w:rPr>
        <w:t xml:space="preserve"> SWG is developing the </w:t>
      </w:r>
      <w:proofErr w:type="spellStart"/>
      <w:r w:rsidRPr="001B3772">
        <w:rPr>
          <w:color w:val="000000"/>
        </w:rPr>
        <w:t>IoT</w:t>
      </w:r>
      <w:proofErr w:type="spellEnd"/>
      <w:r w:rsidRPr="001B3772">
        <w:rPr>
          <w:color w:val="000000"/>
        </w:rPr>
        <w:t xml:space="preserve"> </w:t>
      </w:r>
      <w:proofErr w:type="spellStart"/>
      <w:r w:rsidRPr="001B3772">
        <w:rPr>
          <w:color w:val="000000"/>
        </w:rPr>
        <w:t>RESTful</w:t>
      </w:r>
      <w:proofErr w:type="spellEnd"/>
      <w:r w:rsidRPr="001B3772">
        <w:rPr>
          <w:color w:val="000000"/>
        </w:rPr>
        <w:t xml:space="preserve"> API, specifically for the power-constrained </w:t>
      </w:r>
      <w:proofErr w:type="spellStart"/>
      <w:r w:rsidRPr="001B3772">
        <w:rPr>
          <w:color w:val="000000"/>
        </w:rPr>
        <w:t>IoT</w:t>
      </w:r>
      <w:proofErr w:type="spellEnd"/>
      <w:r w:rsidRPr="001B3772">
        <w:rPr>
          <w:color w:val="000000"/>
        </w:rPr>
        <w:t xml:space="preserve"> devices….</w:t>
      </w:r>
    </w:p>
    <w:p w:rsidR="001967E7" w:rsidRDefault="001967E7" w:rsidP="001967E7">
      <w:pPr>
        <w:pStyle w:val="ListParagraph"/>
        <w:numPr>
          <w:ilvl w:val="0"/>
          <w:numId w:val="10"/>
        </w:numPr>
      </w:pPr>
      <w:r w:rsidRPr="001B3772">
        <w:t>Facilitate interoperability experiments (driven by community-of-practice needs, e.g. use cases described above</w:t>
      </w:r>
      <w:r>
        <w:t>/below</w:t>
      </w:r>
      <w:r w:rsidRPr="001B3772">
        <w:t>)</w:t>
      </w:r>
    </w:p>
    <w:p w:rsidR="001967E7" w:rsidRPr="001B3772" w:rsidRDefault="001967E7" w:rsidP="001967E7">
      <w:pPr>
        <w:pStyle w:val="ListParagraph"/>
        <w:numPr>
          <w:ilvl w:val="0"/>
          <w:numId w:val="10"/>
        </w:numPr>
        <w:spacing w:after="0" w:line="240" w:lineRule="auto"/>
      </w:pPr>
      <w:r w:rsidRPr="001B3772">
        <w:t>Collect/Develop Business Cases (case studies) demonstrating value (scientifically, economically, ROI)</w:t>
      </w:r>
      <w:r>
        <w:t xml:space="preserve"> of technical solutions using OGC standards</w:t>
      </w:r>
    </w:p>
    <w:p w:rsidR="001967E7" w:rsidRPr="001967E7" w:rsidRDefault="001967E7" w:rsidP="002E0BC0">
      <w:pPr>
        <w:spacing w:after="0" w:line="240" w:lineRule="auto"/>
        <w:rPr>
          <w:b/>
        </w:rPr>
      </w:pPr>
    </w:p>
    <w:p w:rsidR="001967E7" w:rsidRPr="001967E7" w:rsidRDefault="00C31F0F" w:rsidP="002E0BC0">
      <w:pPr>
        <w:spacing w:after="0" w:line="240" w:lineRule="auto"/>
        <w:rPr>
          <w:b/>
        </w:rPr>
      </w:pPr>
      <w:r>
        <w:rPr>
          <w:b/>
        </w:rPr>
        <w:lastRenderedPageBreak/>
        <w:t xml:space="preserve">Other </w:t>
      </w:r>
      <w:r w:rsidR="001967E7" w:rsidRPr="001967E7">
        <w:rPr>
          <w:b/>
        </w:rPr>
        <w:t xml:space="preserve">Community of Practice </w:t>
      </w:r>
      <w:r>
        <w:rPr>
          <w:b/>
        </w:rPr>
        <w:t>Needs that may be addressed</w:t>
      </w:r>
      <w:r w:rsidR="001967E7" w:rsidRPr="001967E7">
        <w:rPr>
          <w:b/>
        </w:rPr>
        <w:t>:</w:t>
      </w:r>
    </w:p>
    <w:p w:rsidR="00C31F0F" w:rsidRPr="00C31F0F" w:rsidRDefault="00C31F0F" w:rsidP="00C31F0F">
      <w:pPr>
        <w:pStyle w:val="ListParagraph"/>
        <w:numPr>
          <w:ilvl w:val="0"/>
          <w:numId w:val="11"/>
        </w:numPr>
        <w:rPr>
          <w:b/>
        </w:rPr>
      </w:pPr>
      <w:r w:rsidRPr="00C31F0F">
        <w:rPr>
          <w:b/>
        </w:rPr>
        <w:t>Create a common repository and list-serve</w:t>
      </w:r>
    </w:p>
    <w:p w:rsidR="00C31F0F" w:rsidRPr="001B3772" w:rsidRDefault="00C31F0F" w:rsidP="00C31F0F">
      <w:pPr>
        <w:pStyle w:val="ListParagraph"/>
        <w:numPr>
          <w:ilvl w:val="0"/>
          <w:numId w:val="11"/>
        </w:numPr>
      </w:pPr>
      <w:r w:rsidRPr="00C31F0F">
        <w:rPr>
          <w:b/>
        </w:rPr>
        <w:t>Identify geospatial data and web service encodings</w:t>
      </w:r>
      <w:r w:rsidRPr="001B3772">
        <w:t xml:space="preserve"> which support or align well with requirements of the Geo Health and Environment Community-of-Practice (GEOSS), and the larger health community.</w:t>
      </w:r>
    </w:p>
    <w:p w:rsidR="001967E7" w:rsidRPr="001967E7" w:rsidRDefault="001967E7" w:rsidP="00C31F0F">
      <w:pPr>
        <w:pStyle w:val="ListParagraph"/>
        <w:numPr>
          <w:ilvl w:val="0"/>
          <w:numId w:val="11"/>
        </w:numPr>
      </w:pPr>
      <w:r w:rsidRPr="001967E7">
        <w:rPr>
          <w:b/>
        </w:rPr>
        <w:t>Facilitate adoption</w:t>
      </w:r>
      <w:r w:rsidRPr="001967E7">
        <w:t xml:space="preserve"> </w:t>
      </w:r>
      <w:r w:rsidRPr="00C31F0F">
        <w:rPr>
          <w:b/>
        </w:rPr>
        <w:t xml:space="preserve">of </w:t>
      </w:r>
      <w:r w:rsidR="00C31F0F">
        <w:rPr>
          <w:b/>
        </w:rPr>
        <w:t xml:space="preserve">OGC standards based </w:t>
      </w:r>
      <w:r w:rsidRPr="00C31F0F">
        <w:rPr>
          <w:b/>
        </w:rPr>
        <w:t>technical solutions</w:t>
      </w:r>
      <w:r w:rsidRPr="001967E7">
        <w:t xml:space="preserve"> within national health information systems (i.e. through pilot demonstrations, research, and education) </w:t>
      </w:r>
    </w:p>
    <w:p w:rsidR="002E0BC0" w:rsidRPr="001967E7" w:rsidRDefault="002E0BC0" w:rsidP="00C31F0F">
      <w:pPr>
        <w:pStyle w:val="ListParagraph"/>
        <w:numPr>
          <w:ilvl w:val="0"/>
          <w:numId w:val="11"/>
        </w:numPr>
        <w:spacing w:after="0" w:line="240" w:lineRule="auto"/>
        <w:rPr>
          <w:rFonts w:ascii="Calibri" w:hAnsi="Calibri"/>
        </w:rPr>
      </w:pPr>
      <w:r w:rsidRPr="001967E7">
        <w:rPr>
          <w:b/>
        </w:rPr>
        <w:t xml:space="preserve">Advance best practices </w:t>
      </w:r>
      <w:r w:rsidR="00C31F0F" w:rsidRPr="001967E7">
        <w:t xml:space="preserve">using open mapping standards </w:t>
      </w:r>
      <w:r w:rsidR="00C31F0F">
        <w:rPr>
          <w:b/>
        </w:rPr>
        <w:t xml:space="preserve">– e.g. </w:t>
      </w:r>
      <w:r w:rsidR="00C31F0F">
        <w:t xml:space="preserve">toward </w:t>
      </w:r>
      <w:r w:rsidRPr="001967E7">
        <w:t xml:space="preserve">Public Health </w:t>
      </w:r>
      <w:r w:rsidR="00C31F0F">
        <w:t>m</w:t>
      </w:r>
      <w:r w:rsidRPr="001967E7">
        <w:t xml:space="preserve">anagement and </w:t>
      </w:r>
      <w:r w:rsidR="00C31F0F">
        <w:t>c</w:t>
      </w:r>
      <w:r w:rsidRPr="001967E7">
        <w:t xml:space="preserve">ost </w:t>
      </w:r>
      <w:r w:rsidR="00C31F0F">
        <w:t>r</w:t>
      </w:r>
      <w:r w:rsidRPr="001967E7">
        <w:t>eduction</w:t>
      </w:r>
      <w:r w:rsidR="00C31F0F">
        <w:t>;</w:t>
      </w:r>
      <w:r w:rsidRPr="001967E7">
        <w:t xml:space="preserve"> resource allocation for health emergencies, to protect vulnerable populations, and in response to changing geo-demographics (e.g. older populations with higher prevalence of chronic respiratory illness, diabetes, and cancer, among others)</w:t>
      </w:r>
      <w:r w:rsidR="00C31F0F">
        <w:t xml:space="preserve"> and a changing environment</w:t>
      </w:r>
      <w:r w:rsidRPr="001967E7">
        <w:t>.</w:t>
      </w:r>
    </w:p>
    <w:p w:rsidR="002E0BC0" w:rsidRPr="001967E7" w:rsidRDefault="002E0BC0" w:rsidP="00C31F0F">
      <w:pPr>
        <w:pStyle w:val="ListParagraph"/>
        <w:numPr>
          <w:ilvl w:val="0"/>
          <w:numId w:val="11"/>
        </w:numPr>
        <w:spacing w:after="0" w:line="240" w:lineRule="auto"/>
        <w:rPr>
          <w:rFonts w:ascii="Calibri" w:hAnsi="Calibri"/>
        </w:rPr>
      </w:pPr>
      <w:r w:rsidRPr="001967E7">
        <w:rPr>
          <w:b/>
        </w:rPr>
        <w:t xml:space="preserve">Support Policy, Research, </w:t>
      </w:r>
      <w:proofErr w:type="gramStart"/>
      <w:r w:rsidRPr="001967E7">
        <w:rPr>
          <w:b/>
        </w:rPr>
        <w:t>Education</w:t>
      </w:r>
      <w:proofErr w:type="gramEnd"/>
      <w:r w:rsidRPr="001967E7">
        <w:t xml:space="preserve"> – e.g. support development of policy, research, best practices, and education in the use of open mapping standards to monitor trends and changes in public health, for risk identification, communication, and disease prevention</w:t>
      </w:r>
      <w:r w:rsidR="00C31F0F">
        <w:t xml:space="preserve"> in vulnerable populations</w:t>
      </w:r>
      <w:r w:rsidRPr="001967E7">
        <w:t xml:space="preserve">. </w:t>
      </w:r>
    </w:p>
    <w:p w:rsidR="002E0BC0" w:rsidRPr="001967E7" w:rsidRDefault="002E0BC0" w:rsidP="00C31F0F">
      <w:pPr>
        <w:pStyle w:val="ListParagraph"/>
        <w:numPr>
          <w:ilvl w:val="0"/>
          <w:numId w:val="11"/>
        </w:numPr>
        <w:spacing w:after="0" w:line="240" w:lineRule="auto"/>
        <w:rPr>
          <w:rFonts w:ascii="Calibri" w:hAnsi="Calibri"/>
        </w:rPr>
      </w:pPr>
      <w:r w:rsidRPr="001967E7">
        <w:rPr>
          <w:b/>
        </w:rPr>
        <w:t>Support collaborative research</w:t>
      </w:r>
      <w:r w:rsidRPr="001967E7">
        <w:t xml:space="preserve"> into cumulative, synergistic, non-linear impacts (e.g. ecosystem fragmentation) to health, for risk assessment and reduction, in developed and developing world (using</w:t>
      </w:r>
      <w:r w:rsidR="001967E7" w:rsidRPr="001967E7">
        <w:t xml:space="preserve"> available</w:t>
      </w:r>
      <w:r w:rsidRPr="001967E7">
        <w:t xml:space="preserve"> technologies)</w:t>
      </w:r>
    </w:p>
    <w:p w:rsidR="002E0BC0" w:rsidRPr="001B3772" w:rsidRDefault="002E0BC0" w:rsidP="00C31F0F">
      <w:pPr>
        <w:pStyle w:val="ListParagraph"/>
        <w:numPr>
          <w:ilvl w:val="0"/>
          <w:numId w:val="11"/>
        </w:numPr>
      </w:pPr>
      <w:r w:rsidRPr="001B3772">
        <w:t xml:space="preserve">Facilitate members to </w:t>
      </w:r>
      <w:r w:rsidRPr="00C31F0F">
        <w:rPr>
          <w:b/>
        </w:rPr>
        <w:t xml:space="preserve">build capacity </w:t>
      </w:r>
      <w:r w:rsidRPr="001B3772">
        <w:t>to implement technical solutions</w:t>
      </w:r>
      <w:r w:rsidR="00C31F0F">
        <w:t>, promote affordable solutions</w:t>
      </w:r>
    </w:p>
    <w:p w:rsidR="002E0BC0" w:rsidRPr="001B3772" w:rsidRDefault="002E0BC0" w:rsidP="00C31F0F">
      <w:pPr>
        <w:pStyle w:val="ListParagraph"/>
        <w:numPr>
          <w:ilvl w:val="0"/>
          <w:numId w:val="11"/>
        </w:numPr>
        <w:spacing w:after="0" w:line="240" w:lineRule="auto"/>
      </w:pPr>
      <w:r w:rsidRPr="001B3772">
        <w:t>Facilitate members to</w:t>
      </w:r>
      <w:r w:rsidR="00C31F0F">
        <w:t xml:space="preserve"> implement</w:t>
      </w:r>
      <w:r w:rsidRPr="001B3772">
        <w:t xml:space="preserve"> technical solutions which enable geospatial data entry/collection, integration, exchange, visualization, etc. for desktop, web, and mobile applications</w:t>
      </w:r>
    </w:p>
    <w:p w:rsidR="002E0BC0" w:rsidRPr="001B3772" w:rsidRDefault="002E0BC0" w:rsidP="00C31F0F">
      <w:pPr>
        <w:pStyle w:val="ListParagraph"/>
        <w:numPr>
          <w:ilvl w:val="0"/>
          <w:numId w:val="11"/>
        </w:numPr>
      </w:pPr>
      <w:r w:rsidRPr="001B3772">
        <w:t>Raise awareness, or create a calendar, of training opportunities</w:t>
      </w:r>
    </w:p>
    <w:p w:rsidR="00C31F0F" w:rsidRDefault="00C31F0F" w:rsidP="00C31F0F">
      <w:pPr>
        <w:pStyle w:val="ListParagraph"/>
        <w:numPr>
          <w:ilvl w:val="0"/>
          <w:numId w:val="11"/>
        </w:numPr>
      </w:pPr>
      <w:r>
        <w:t>Other u</w:t>
      </w:r>
      <w:r w:rsidR="002E0BC0" w:rsidRPr="001B3772">
        <w:t xml:space="preserve">se cases </w:t>
      </w:r>
      <w:r>
        <w:t>(involving the use of OGC standards based technical solutions) may include</w:t>
      </w:r>
      <w:r w:rsidR="002E0BC0" w:rsidRPr="001B3772">
        <w:t xml:space="preserve">: </w:t>
      </w:r>
    </w:p>
    <w:p w:rsidR="00C31F0F" w:rsidRDefault="002E0BC0" w:rsidP="00C31F0F">
      <w:pPr>
        <w:pStyle w:val="ListParagraph"/>
        <w:numPr>
          <w:ilvl w:val="1"/>
          <w:numId w:val="11"/>
        </w:numPr>
      </w:pPr>
      <w:r w:rsidRPr="001B3772">
        <w:t xml:space="preserve">capacity building (of local health authorities, national health authorities); </w:t>
      </w:r>
    </w:p>
    <w:p w:rsidR="00C31F0F" w:rsidRDefault="002E0BC0" w:rsidP="00C31F0F">
      <w:pPr>
        <w:pStyle w:val="ListParagraph"/>
        <w:numPr>
          <w:ilvl w:val="1"/>
          <w:numId w:val="11"/>
        </w:numPr>
      </w:pPr>
      <w:r w:rsidRPr="001B3772">
        <w:t xml:space="preserve">real-time surveillance and rapid detection of cases; </w:t>
      </w:r>
    </w:p>
    <w:p w:rsidR="00C31F0F" w:rsidRDefault="002E0BC0" w:rsidP="00C31F0F">
      <w:pPr>
        <w:pStyle w:val="ListParagraph"/>
        <w:numPr>
          <w:ilvl w:val="1"/>
          <w:numId w:val="11"/>
        </w:numPr>
      </w:pPr>
      <w:r w:rsidRPr="001B3772">
        <w:t xml:space="preserve">multi-tier reporting, data collection, processing, access control; </w:t>
      </w:r>
    </w:p>
    <w:p w:rsidR="00C31F0F" w:rsidRDefault="002E0BC0" w:rsidP="00C31F0F">
      <w:pPr>
        <w:pStyle w:val="ListParagraph"/>
        <w:numPr>
          <w:ilvl w:val="1"/>
          <w:numId w:val="11"/>
        </w:numPr>
      </w:pPr>
      <w:r w:rsidRPr="001B3772">
        <w:t xml:space="preserve">program design, planning, delivery, evaluation; </w:t>
      </w:r>
    </w:p>
    <w:p w:rsidR="00C31F0F" w:rsidRDefault="002E0BC0" w:rsidP="00C31F0F">
      <w:pPr>
        <w:pStyle w:val="ListParagraph"/>
        <w:numPr>
          <w:ilvl w:val="1"/>
          <w:numId w:val="11"/>
        </w:numPr>
      </w:pPr>
      <w:r w:rsidRPr="001B3772">
        <w:t xml:space="preserve">improving productivity in the primary care sector; </w:t>
      </w:r>
    </w:p>
    <w:p w:rsidR="00C31F0F" w:rsidRDefault="002E0BC0" w:rsidP="00C31F0F">
      <w:pPr>
        <w:pStyle w:val="ListParagraph"/>
        <w:numPr>
          <w:ilvl w:val="1"/>
          <w:numId w:val="11"/>
        </w:numPr>
      </w:pPr>
      <w:r w:rsidRPr="001B3772">
        <w:t xml:space="preserve">improving access to health care/services; </w:t>
      </w:r>
    </w:p>
    <w:p w:rsidR="00C31F0F" w:rsidRDefault="002E0BC0" w:rsidP="00C31F0F">
      <w:pPr>
        <w:pStyle w:val="ListParagraph"/>
        <w:numPr>
          <w:ilvl w:val="1"/>
          <w:numId w:val="11"/>
        </w:numPr>
      </w:pPr>
      <w:r w:rsidRPr="001B3772">
        <w:t xml:space="preserve">supporting health sciences; </w:t>
      </w:r>
    </w:p>
    <w:p w:rsidR="00C31F0F" w:rsidRDefault="002E0BC0" w:rsidP="00C31F0F">
      <w:pPr>
        <w:pStyle w:val="ListParagraph"/>
        <w:numPr>
          <w:ilvl w:val="1"/>
          <w:numId w:val="11"/>
        </w:numPr>
      </w:pPr>
      <w:r w:rsidRPr="001B3772">
        <w:t xml:space="preserve">maternal and child health; </w:t>
      </w:r>
    </w:p>
    <w:p w:rsidR="00C31F0F" w:rsidRDefault="002E0BC0" w:rsidP="00C31F0F">
      <w:pPr>
        <w:pStyle w:val="ListParagraph"/>
        <w:numPr>
          <w:ilvl w:val="1"/>
          <w:numId w:val="11"/>
        </w:numPr>
      </w:pPr>
      <w:r w:rsidRPr="001B3772">
        <w:t xml:space="preserve">redesign of mobile cancer screening routes; </w:t>
      </w:r>
    </w:p>
    <w:p w:rsidR="00C31F0F" w:rsidRDefault="002E0BC0" w:rsidP="00C31F0F">
      <w:pPr>
        <w:pStyle w:val="ListParagraph"/>
        <w:numPr>
          <w:ilvl w:val="1"/>
          <w:numId w:val="11"/>
        </w:numPr>
      </w:pPr>
      <w:r w:rsidRPr="001B3772">
        <w:t xml:space="preserve">all hazards vulnerability/risk assessment to public health; </w:t>
      </w:r>
    </w:p>
    <w:p w:rsidR="00C31F0F" w:rsidRDefault="002E0BC0" w:rsidP="00C31F0F">
      <w:pPr>
        <w:pStyle w:val="ListParagraph"/>
        <w:numPr>
          <w:ilvl w:val="1"/>
          <w:numId w:val="11"/>
        </w:numPr>
      </w:pPr>
      <w:r w:rsidRPr="001B3772">
        <w:t>multi-dimensional variable analysis;</w:t>
      </w:r>
    </w:p>
    <w:p w:rsidR="00C31F0F" w:rsidRDefault="002E0BC0" w:rsidP="00C31F0F">
      <w:pPr>
        <w:pStyle w:val="ListParagraph"/>
        <w:numPr>
          <w:ilvl w:val="1"/>
          <w:numId w:val="11"/>
        </w:numPr>
      </w:pPr>
      <w:r w:rsidRPr="001B3772">
        <w:t xml:space="preserve">facilities and asset management; </w:t>
      </w:r>
    </w:p>
    <w:p w:rsidR="00C31F0F" w:rsidRDefault="002E0BC0" w:rsidP="00C31F0F">
      <w:pPr>
        <w:pStyle w:val="ListParagraph"/>
        <w:numPr>
          <w:ilvl w:val="1"/>
          <w:numId w:val="11"/>
        </w:numPr>
      </w:pPr>
      <w:r w:rsidRPr="001B3772">
        <w:t xml:space="preserve">urban health / adaptation; and </w:t>
      </w:r>
    </w:p>
    <w:p w:rsidR="002E0BC0" w:rsidRPr="001B3772" w:rsidRDefault="002E0BC0" w:rsidP="00C31F0F">
      <w:pPr>
        <w:pStyle w:val="ListParagraph"/>
        <w:numPr>
          <w:ilvl w:val="1"/>
          <w:numId w:val="11"/>
        </w:numPr>
      </w:pPr>
      <w:proofErr w:type="gramStart"/>
      <w:r w:rsidRPr="001B3772">
        <w:t>targeting</w:t>
      </w:r>
      <w:proofErr w:type="gramEnd"/>
      <w:r w:rsidRPr="001B3772">
        <w:t xml:space="preserve"> interventions. </w:t>
      </w:r>
    </w:p>
    <w:p w:rsidR="002E0BC0" w:rsidRDefault="002E0BC0" w:rsidP="00C51D79">
      <w:pPr>
        <w:spacing w:after="0" w:line="240" w:lineRule="auto"/>
      </w:pPr>
    </w:p>
    <w:sectPr w:rsidR="002E0BC0" w:rsidSect="009B149C">
      <w:headerReference w:type="default" r:id="rId23"/>
      <w:footerReference w:type="even" r:id="rId24"/>
      <w:pgSz w:w="12240" w:h="15840"/>
      <w:pgMar w:top="426" w:right="758" w:bottom="851" w:left="709" w:header="284" w:footer="2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80D" w:rsidRDefault="0042380D" w:rsidP="009B149C">
      <w:pPr>
        <w:spacing w:after="0" w:line="240" w:lineRule="auto"/>
      </w:pPr>
      <w:r>
        <w:separator/>
      </w:r>
    </w:p>
  </w:endnote>
  <w:endnote w:type="continuationSeparator" w:id="0">
    <w:p w:rsidR="0042380D" w:rsidRDefault="0042380D" w:rsidP="009B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49C" w:rsidRDefault="009B149C" w:rsidP="00F61059">
    <w:pPr>
      <w:pStyle w:val="Header"/>
      <w:jc w:val="center"/>
    </w:pPr>
    <w:r>
      <w:t xml:space="preserve">OGC Document Number: </w:t>
    </w:r>
    <w:r w:rsidR="00F61059">
      <w:rPr>
        <w:b/>
        <w:bCs/>
      </w:rPr>
      <w:t>13-009r1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80D" w:rsidRDefault="0042380D" w:rsidP="009B149C">
      <w:pPr>
        <w:spacing w:after="0" w:line="240" w:lineRule="auto"/>
      </w:pPr>
      <w:r>
        <w:separator/>
      </w:r>
    </w:p>
  </w:footnote>
  <w:footnote w:type="continuationSeparator" w:id="0">
    <w:p w:rsidR="0042380D" w:rsidRDefault="0042380D" w:rsidP="009B1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49C" w:rsidRDefault="009B149C" w:rsidP="009B149C">
    <w:pPr>
      <w:pStyle w:val="Header"/>
      <w:jc w:val="center"/>
    </w:pPr>
    <w:r>
      <w:t xml:space="preserve">OGC Document Number: </w:t>
    </w:r>
    <w:r w:rsidR="00F61059">
      <w:rPr>
        <w:b/>
        <w:bCs/>
      </w:rPr>
      <w:t>13-009r1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D2998"/>
    <w:multiLevelType w:val="hybridMultilevel"/>
    <w:tmpl w:val="F25404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9DB27D0"/>
    <w:multiLevelType w:val="hybridMultilevel"/>
    <w:tmpl w:val="0E9832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5946414"/>
    <w:multiLevelType w:val="hybridMultilevel"/>
    <w:tmpl w:val="22BAA8A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264602F2"/>
    <w:multiLevelType w:val="hybridMultilevel"/>
    <w:tmpl w:val="F25404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64E26C5"/>
    <w:multiLevelType w:val="hybridMultilevel"/>
    <w:tmpl w:val="3C1C4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680643F"/>
    <w:multiLevelType w:val="hybridMultilevel"/>
    <w:tmpl w:val="2AEE78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nsid w:val="53F359BB"/>
    <w:multiLevelType w:val="hybridMultilevel"/>
    <w:tmpl w:val="5C4AF006"/>
    <w:lvl w:ilvl="0" w:tplc="1009000F">
      <w:start w:val="1"/>
      <w:numFmt w:val="decimal"/>
      <w:lvlText w:val="%1."/>
      <w:lvlJc w:val="left"/>
      <w:pPr>
        <w:ind w:left="6" w:hanging="360"/>
      </w:pPr>
    </w:lvl>
    <w:lvl w:ilvl="1" w:tplc="10090019">
      <w:start w:val="1"/>
      <w:numFmt w:val="lowerLetter"/>
      <w:lvlText w:val="%2."/>
      <w:lvlJc w:val="left"/>
      <w:pPr>
        <w:ind w:left="726" w:hanging="360"/>
      </w:pPr>
    </w:lvl>
    <w:lvl w:ilvl="2" w:tplc="1009001B" w:tentative="1">
      <w:start w:val="1"/>
      <w:numFmt w:val="lowerRoman"/>
      <w:lvlText w:val="%3."/>
      <w:lvlJc w:val="right"/>
      <w:pPr>
        <w:ind w:left="1446" w:hanging="180"/>
      </w:pPr>
    </w:lvl>
    <w:lvl w:ilvl="3" w:tplc="1009000F" w:tentative="1">
      <w:start w:val="1"/>
      <w:numFmt w:val="decimal"/>
      <w:lvlText w:val="%4."/>
      <w:lvlJc w:val="left"/>
      <w:pPr>
        <w:ind w:left="2166" w:hanging="360"/>
      </w:pPr>
    </w:lvl>
    <w:lvl w:ilvl="4" w:tplc="10090019" w:tentative="1">
      <w:start w:val="1"/>
      <w:numFmt w:val="lowerLetter"/>
      <w:lvlText w:val="%5."/>
      <w:lvlJc w:val="left"/>
      <w:pPr>
        <w:ind w:left="2886" w:hanging="360"/>
      </w:pPr>
    </w:lvl>
    <w:lvl w:ilvl="5" w:tplc="1009001B" w:tentative="1">
      <w:start w:val="1"/>
      <w:numFmt w:val="lowerRoman"/>
      <w:lvlText w:val="%6."/>
      <w:lvlJc w:val="right"/>
      <w:pPr>
        <w:ind w:left="3606" w:hanging="180"/>
      </w:pPr>
    </w:lvl>
    <w:lvl w:ilvl="6" w:tplc="1009000F" w:tentative="1">
      <w:start w:val="1"/>
      <w:numFmt w:val="decimal"/>
      <w:lvlText w:val="%7."/>
      <w:lvlJc w:val="left"/>
      <w:pPr>
        <w:ind w:left="4326" w:hanging="360"/>
      </w:pPr>
    </w:lvl>
    <w:lvl w:ilvl="7" w:tplc="10090019" w:tentative="1">
      <w:start w:val="1"/>
      <w:numFmt w:val="lowerLetter"/>
      <w:lvlText w:val="%8."/>
      <w:lvlJc w:val="left"/>
      <w:pPr>
        <w:ind w:left="5046" w:hanging="360"/>
      </w:pPr>
    </w:lvl>
    <w:lvl w:ilvl="8" w:tplc="1009001B" w:tentative="1">
      <w:start w:val="1"/>
      <w:numFmt w:val="lowerRoman"/>
      <w:lvlText w:val="%9."/>
      <w:lvlJc w:val="right"/>
      <w:pPr>
        <w:ind w:left="5766" w:hanging="180"/>
      </w:pPr>
    </w:lvl>
  </w:abstractNum>
  <w:abstractNum w:abstractNumId="7">
    <w:nsid w:val="555145F1"/>
    <w:multiLevelType w:val="hybridMultilevel"/>
    <w:tmpl w:val="F254042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EB05223"/>
    <w:multiLevelType w:val="hybridMultilevel"/>
    <w:tmpl w:val="8AB824B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652F1BB5"/>
    <w:multiLevelType w:val="hybridMultilevel"/>
    <w:tmpl w:val="5D0621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8"/>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C1E"/>
    <w:rsid w:val="00006418"/>
    <w:rsid w:val="00062C01"/>
    <w:rsid w:val="000B47B1"/>
    <w:rsid w:val="000C27EF"/>
    <w:rsid w:val="000F5C46"/>
    <w:rsid w:val="00116378"/>
    <w:rsid w:val="001253C4"/>
    <w:rsid w:val="001967E7"/>
    <w:rsid w:val="001A29C0"/>
    <w:rsid w:val="001B3772"/>
    <w:rsid w:val="001F6CB6"/>
    <w:rsid w:val="002150CB"/>
    <w:rsid w:val="002677C2"/>
    <w:rsid w:val="002E0BC0"/>
    <w:rsid w:val="002F12BA"/>
    <w:rsid w:val="003006FD"/>
    <w:rsid w:val="003556BC"/>
    <w:rsid w:val="003A3C6B"/>
    <w:rsid w:val="003E240E"/>
    <w:rsid w:val="00401C56"/>
    <w:rsid w:val="0040551C"/>
    <w:rsid w:val="00417888"/>
    <w:rsid w:val="0042380D"/>
    <w:rsid w:val="00424F2B"/>
    <w:rsid w:val="00434D15"/>
    <w:rsid w:val="004506AB"/>
    <w:rsid w:val="00460A4B"/>
    <w:rsid w:val="00484157"/>
    <w:rsid w:val="004F0A09"/>
    <w:rsid w:val="00566F98"/>
    <w:rsid w:val="00592C70"/>
    <w:rsid w:val="00674718"/>
    <w:rsid w:val="006A718F"/>
    <w:rsid w:val="006B5419"/>
    <w:rsid w:val="006D07E3"/>
    <w:rsid w:val="006F7AA8"/>
    <w:rsid w:val="007164F6"/>
    <w:rsid w:val="00772B9A"/>
    <w:rsid w:val="00854862"/>
    <w:rsid w:val="00875937"/>
    <w:rsid w:val="008C5C1E"/>
    <w:rsid w:val="008F7BEE"/>
    <w:rsid w:val="0090508B"/>
    <w:rsid w:val="009638EE"/>
    <w:rsid w:val="00971ED9"/>
    <w:rsid w:val="009B149C"/>
    <w:rsid w:val="009F459A"/>
    <w:rsid w:val="00A005A1"/>
    <w:rsid w:val="00A1606D"/>
    <w:rsid w:val="00A430AA"/>
    <w:rsid w:val="00A44B8E"/>
    <w:rsid w:val="00A50053"/>
    <w:rsid w:val="00B27F24"/>
    <w:rsid w:val="00B45B3D"/>
    <w:rsid w:val="00BF4DC0"/>
    <w:rsid w:val="00C118CB"/>
    <w:rsid w:val="00C206F7"/>
    <w:rsid w:val="00C31F0F"/>
    <w:rsid w:val="00C402DF"/>
    <w:rsid w:val="00C51D79"/>
    <w:rsid w:val="00CC7AFD"/>
    <w:rsid w:val="00D02B45"/>
    <w:rsid w:val="00D91BB5"/>
    <w:rsid w:val="00DA69D7"/>
    <w:rsid w:val="00DA7763"/>
    <w:rsid w:val="00DB1556"/>
    <w:rsid w:val="00DC6402"/>
    <w:rsid w:val="00DF1F4E"/>
    <w:rsid w:val="00DF6A40"/>
    <w:rsid w:val="00E54C6F"/>
    <w:rsid w:val="00E820F3"/>
    <w:rsid w:val="00F24B4D"/>
    <w:rsid w:val="00F50B87"/>
    <w:rsid w:val="00F61059"/>
    <w:rsid w:val="00FB5C8B"/>
    <w:rsid w:val="00FC3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4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64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5C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5C1E"/>
    <w:rPr>
      <w:rFonts w:asciiTheme="majorHAnsi" w:eastAsiaTheme="majorEastAsia" w:hAnsiTheme="majorHAnsi" w:cstheme="majorBidi"/>
      <w:color w:val="17365D" w:themeColor="text2" w:themeShade="BF"/>
      <w:spacing w:val="5"/>
      <w:kern w:val="28"/>
      <w:sz w:val="52"/>
      <w:szCs w:val="52"/>
      <w:lang w:val="en-CA"/>
    </w:rPr>
  </w:style>
  <w:style w:type="character" w:customStyle="1" w:styleId="Heading1Char">
    <w:name w:val="Heading 1 Char"/>
    <w:basedOn w:val="DefaultParagraphFont"/>
    <w:link w:val="Heading1"/>
    <w:uiPriority w:val="9"/>
    <w:rsid w:val="000064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641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F6A40"/>
    <w:pPr>
      <w:ind w:left="720"/>
      <w:contextualSpacing/>
    </w:pPr>
  </w:style>
  <w:style w:type="character" w:styleId="Strong">
    <w:name w:val="Strong"/>
    <w:basedOn w:val="DefaultParagraphFont"/>
    <w:uiPriority w:val="22"/>
    <w:qFormat/>
    <w:rsid w:val="00A1606D"/>
    <w:rPr>
      <w:b/>
      <w:bCs/>
    </w:rPr>
  </w:style>
  <w:style w:type="paragraph" w:styleId="BalloonText">
    <w:name w:val="Balloon Text"/>
    <w:basedOn w:val="Normal"/>
    <w:link w:val="BalloonTextChar"/>
    <w:uiPriority w:val="99"/>
    <w:semiHidden/>
    <w:unhideWhenUsed/>
    <w:rsid w:val="00434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D15"/>
    <w:rPr>
      <w:rFonts w:ascii="Tahoma" w:hAnsi="Tahoma" w:cs="Tahoma"/>
      <w:sz w:val="16"/>
      <w:szCs w:val="16"/>
    </w:rPr>
  </w:style>
  <w:style w:type="character" w:styleId="Hyperlink">
    <w:name w:val="Hyperlink"/>
    <w:basedOn w:val="DefaultParagraphFont"/>
    <w:uiPriority w:val="99"/>
    <w:unhideWhenUsed/>
    <w:rsid w:val="00BF4DC0"/>
    <w:rPr>
      <w:color w:val="0000FF"/>
      <w:u w:val="single"/>
    </w:rPr>
  </w:style>
  <w:style w:type="character" w:styleId="FollowedHyperlink">
    <w:name w:val="FollowedHyperlink"/>
    <w:basedOn w:val="DefaultParagraphFont"/>
    <w:uiPriority w:val="99"/>
    <w:semiHidden/>
    <w:unhideWhenUsed/>
    <w:rsid w:val="00BF4DC0"/>
    <w:rPr>
      <w:color w:val="800080" w:themeColor="followedHyperlink"/>
      <w:u w:val="single"/>
    </w:rPr>
  </w:style>
  <w:style w:type="paragraph" w:customStyle="1" w:styleId="authors">
    <w:name w:val="authors"/>
    <w:basedOn w:val="Normal"/>
    <w:rsid w:val="00BF4DC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1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49C"/>
  </w:style>
  <w:style w:type="paragraph" w:styleId="Footer">
    <w:name w:val="footer"/>
    <w:basedOn w:val="Normal"/>
    <w:link w:val="FooterChar"/>
    <w:uiPriority w:val="99"/>
    <w:unhideWhenUsed/>
    <w:rsid w:val="009B1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49C"/>
  </w:style>
  <w:style w:type="paragraph" w:styleId="PlainText">
    <w:name w:val="Plain Text"/>
    <w:basedOn w:val="Normal"/>
    <w:link w:val="PlainTextChar"/>
    <w:uiPriority w:val="99"/>
    <w:semiHidden/>
    <w:unhideWhenUsed/>
    <w:rsid w:val="00FC36DB"/>
    <w:pPr>
      <w:spacing w:after="0" w:line="240" w:lineRule="auto"/>
    </w:pPr>
    <w:rPr>
      <w:rFonts w:ascii="Calibri" w:eastAsiaTheme="minorHAnsi" w:hAnsi="Calibri" w:cs="Times New Roman"/>
      <w:lang w:eastAsia="en-US"/>
    </w:rPr>
  </w:style>
  <w:style w:type="character" w:customStyle="1" w:styleId="PlainTextChar">
    <w:name w:val="Plain Text Char"/>
    <w:basedOn w:val="DefaultParagraphFont"/>
    <w:link w:val="PlainText"/>
    <w:uiPriority w:val="99"/>
    <w:semiHidden/>
    <w:rsid w:val="00FC36DB"/>
    <w:rPr>
      <w:rFonts w:ascii="Calibri" w:eastAsiaTheme="minorHAnsi" w:hAnsi="Calibri" w:cs="Times New Roman"/>
      <w:lang w:eastAsia="en-US"/>
    </w:rPr>
  </w:style>
  <w:style w:type="character" w:customStyle="1" w:styleId="apple-converted-space">
    <w:name w:val="apple-converted-space"/>
    <w:basedOn w:val="DefaultParagraphFont"/>
    <w:rsid w:val="001B37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4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64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5C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5C1E"/>
    <w:rPr>
      <w:rFonts w:asciiTheme="majorHAnsi" w:eastAsiaTheme="majorEastAsia" w:hAnsiTheme="majorHAnsi" w:cstheme="majorBidi"/>
      <w:color w:val="17365D" w:themeColor="text2" w:themeShade="BF"/>
      <w:spacing w:val="5"/>
      <w:kern w:val="28"/>
      <w:sz w:val="52"/>
      <w:szCs w:val="52"/>
      <w:lang w:val="en-CA"/>
    </w:rPr>
  </w:style>
  <w:style w:type="character" w:customStyle="1" w:styleId="Heading1Char">
    <w:name w:val="Heading 1 Char"/>
    <w:basedOn w:val="DefaultParagraphFont"/>
    <w:link w:val="Heading1"/>
    <w:uiPriority w:val="9"/>
    <w:rsid w:val="000064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641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F6A40"/>
    <w:pPr>
      <w:ind w:left="720"/>
      <w:contextualSpacing/>
    </w:pPr>
  </w:style>
  <w:style w:type="character" w:styleId="Strong">
    <w:name w:val="Strong"/>
    <w:basedOn w:val="DefaultParagraphFont"/>
    <w:uiPriority w:val="22"/>
    <w:qFormat/>
    <w:rsid w:val="00A1606D"/>
    <w:rPr>
      <w:b/>
      <w:bCs/>
    </w:rPr>
  </w:style>
  <w:style w:type="paragraph" w:styleId="BalloonText">
    <w:name w:val="Balloon Text"/>
    <w:basedOn w:val="Normal"/>
    <w:link w:val="BalloonTextChar"/>
    <w:uiPriority w:val="99"/>
    <w:semiHidden/>
    <w:unhideWhenUsed/>
    <w:rsid w:val="00434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D15"/>
    <w:rPr>
      <w:rFonts w:ascii="Tahoma" w:hAnsi="Tahoma" w:cs="Tahoma"/>
      <w:sz w:val="16"/>
      <w:szCs w:val="16"/>
    </w:rPr>
  </w:style>
  <w:style w:type="character" w:styleId="Hyperlink">
    <w:name w:val="Hyperlink"/>
    <w:basedOn w:val="DefaultParagraphFont"/>
    <w:uiPriority w:val="99"/>
    <w:unhideWhenUsed/>
    <w:rsid w:val="00BF4DC0"/>
    <w:rPr>
      <w:color w:val="0000FF"/>
      <w:u w:val="single"/>
    </w:rPr>
  </w:style>
  <w:style w:type="character" w:styleId="FollowedHyperlink">
    <w:name w:val="FollowedHyperlink"/>
    <w:basedOn w:val="DefaultParagraphFont"/>
    <w:uiPriority w:val="99"/>
    <w:semiHidden/>
    <w:unhideWhenUsed/>
    <w:rsid w:val="00BF4DC0"/>
    <w:rPr>
      <w:color w:val="800080" w:themeColor="followedHyperlink"/>
      <w:u w:val="single"/>
    </w:rPr>
  </w:style>
  <w:style w:type="paragraph" w:customStyle="1" w:styleId="authors">
    <w:name w:val="authors"/>
    <w:basedOn w:val="Normal"/>
    <w:rsid w:val="00BF4DC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1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49C"/>
  </w:style>
  <w:style w:type="paragraph" w:styleId="Footer">
    <w:name w:val="footer"/>
    <w:basedOn w:val="Normal"/>
    <w:link w:val="FooterChar"/>
    <w:uiPriority w:val="99"/>
    <w:unhideWhenUsed/>
    <w:rsid w:val="009B1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49C"/>
  </w:style>
  <w:style w:type="paragraph" w:styleId="PlainText">
    <w:name w:val="Plain Text"/>
    <w:basedOn w:val="Normal"/>
    <w:link w:val="PlainTextChar"/>
    <w:uiPriority w:val="99"/>
    <w:semiHidden/>
    <w:unhideWhenUsed/>
    <w:rsid w:val="00FC36DB"/>
    <w:pPr>
      <w:spacing w:after="0" w:line="240" w:lineRule="auto"/>
    </w:pPr>
    <w:rPr>
      <w:rFonts w:ascii="Calibri" w:eastAsiaTheme="minorHAnsi" w:hAnsi="Calibri" w:cs="Times New Roman"/>
      <w:lang w:eastAsia="en-US"/>
    </w:rPr>
  </w:style>
  <w:style w:type="character" w:customStyle="1" w:styleId="PlainTextChar">
    <w:name w:val="Plain Text Char"/>
    <w:basedOn w:val="DefaultParagraphFont"/>
    <w:link w:val="PlainText"/>
    <w:uiPriority w:val="99"/>
    <w:semiHidden/>
    <w:rsid w:val="00FC36DB"/>
    <w:rPr>
      <w:rFonts w:ascii="Calibri" w:eastAsiaTheme="minorHAnsi" w:hAnsi="Calibri" w:cs="Times New Roman"/>
      <w:lang w:eastAsia="en-US"/>
    </w:rPr>
  </w:style>
  <w:style w:type="character" w:customStyle="1" w:styleId="apple-converted-space">
    <w:name w:val="apple-converted-space"/>
    <w:basedOn w:val="DefaultParagraphFont"/>
    <w:rsid w:val="001B3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0022">
      <w:bodyDiv w:val="1"/>
      <w:marLeft w:val="0"/>
      <w:marRight w:val="0"/>
      <w:marTop w:val="0"/>
      <w:marBottom w:val="0"/>
      <w:divBdr>
        <w:top w:val="none" w:sz="0" w:space="0" w:color="auto"/>
        <w:left w:val="none" w:sz="0" w:space="0" w:color="auto"/>
        <w:bottom w:val="none" w:sz="0" w:space="0" w:color="auto"/>
        <w:right w:val="none" w:sz="0" w:space="0" w:color="auto"/>
      </w:divBdr>
    </w:div>
    <w:div w:id="898630126">
      <w:bodyDiv w:val="1"/>
      <w:marLeft w:val="0"/>
      <w:marRight w:val="0"/>
      <w:marTop w:val="0"/>
      <w:marBottom w:val="0"/>
      <w:divBdr>
        <w:top w:val="none" w:sz="0" w:space="0" w:color="auto"/>
        <w:left w:val="none" w:sz="0" w:space="0" w:color="auto"/>
        <w:bottom w:val="none" w:sz="0" w:space="0" w:color="auto"/>
        <w:right w:val="none" w:sz="0" w:space="0" w:color="auto"/>
      </w:divBdr>
    </w:div>
    <w:div w:id="1261258848">
      <w:bodyDiv w:val="1"/>
      <w:marLeft w:val="0"/>
      <w:marRight w:val="0"/>
      <w:marTop w:val="0"/>
      <w:marBottom w:val="0"/>
      <w:divBdr>
        <w:top w:val="none" w:sz="0" w:space="0" w:color="auto"/>
        <w:left w:val="none" w:sz="0" w:space="0" w:color="auto"/>
        <w:bottom w:val="none" w:sz="0" w:space="0" w:color="auto"/>
        <w:right w:val="none" w:sz="0" w:space="0" w:color="auto"/>
      </w:divBdr>
    </w:div>
    <w:div w:id="1315452051">
      <w:bodyDiv w:val="1"/>
      <w:marLeft w:val="0"/>
      <w:marRight w:val="0"/>
      <w:marTop w:val="0"/>
      <w:marBottom w:val="0"/>
      <w:divBdr>
        <w:top w:val="none" w:sz="0" w:space="0" w:color="auto"/>
        <w:left w:val="none" w:sz="0" w:space="0" w:color="auto"/>
        <w:bottom w:val="none" w:sz="0" w:space="0" w:color="auto"/>
        <w:right w:val="none" w:sz="0" w:space="0" w:color="auto"/>
      </w:divBdr>
    </w:div>
    <w:div w:id="134362438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16">
          <w:marLeft w:val="0"/>
          <w:marRight w:val="0"/>
          <w:marTop w:val="0"/>
          <w:marBottom w:val="0"/>
          <w:divBdr>
            <w:top w:val="none" w:sz="0" w:space="0" w:color="auto"/>
            <w:left w:val="none" w:sz="0" w:space="0" w:color="auto"/>
            <w:bottom w:val="none" w:sz="0" w:space="0" w:color="auto"/>
            <w:right w:val="none" w:sz="0" w:space="0" w:color="auto"/>
          </w:divBdr>
        </w:div>
      </w:divsChild>
    </w:div>
    <w:div w:id="1518543534">
      <w:bodyDiv w:val="1"/>
      <w:marLeft w:val="0"/>
      <w:marRight w:val="0"/>
      <w:marTop w:val="0"/>
      <w:marBottom w:val="0"/>
      <w:divBdr>
        <w:top w:val="none" w:sz="0" w:space="0" w:color="auto"/>
        <w:left w:val="none" w:sz="0" w:space="0" w:color="auto"/>
        <w:bottom w:val="none" w:sz="0" w:space="0" w:color="auto"/>
        <w:right w:val="none" w:sz="0" w:space="0" w:color="auto"/>
      </w:divBdr>
    </w:div>
    <w:div w:id="1521776272">
      <w:bodyDiv w:val="1"/>
      <w:marLeft w:val="0"/>
      <w:marRight w:val="0"/>
      <w:marTop w:val="0"/>
      <w:marBottom w:val="0"/>
      <w:divBdr>
        <w:top w:val="none" w:sz="0" w:space="0" w:color="auto"/>
        <w:left w:val="none" w:sz="0" w:space="0" w:color="auto"/>
        <w:bottom w:val="none" w:sz="0" w:space="0" w:color="auto"/>
        <w:right w:val="none" w:sz="0" w:space="0" w:color="auto"/>
      </w:divBdr>
    </w:div>
    <w:div w:id="1608926922">
      <w:bodyDiv w:val="1"/>
      <w:marLeft w:val="0"/>
      <w:marRight w:val="0"/>
      <w:marTop w:val="0"/>
      <w:marBottom w:val="0"/>
      <w:divBdr>
        <w:top w:val="none" w:sz="0" w:space="0" w:color="auto"/>
        <w:left w:val="none" w:sz="0" w:space="0" w:color="auto"/>
        <w:bottom w:val="none" w:sz="0" w:space="0" w:color="auto"/>
        <w:right w:val="none" w:sz="0" w:space="0" w:color="auto"/>
      </w:divBdr>
    </w:div>
    <w:div w:id="211362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geospatial.org/ogc/join/levels" TargetMode="External"/><Relationship Id="rId13" Type="http://schemas.openxmlformats.org/officeDocument/2006/relationships/hyperlink" Target="http://www.ij-healthgeographics.com/content/8/1/3/" TargetMode="External"/><Relationship Id="rId18" Type="http://schemas.openxmlformats.org/officeDocument/2006/relationships/hyperlink" Target="http://www.ij-healthgeographics.com/content/8/1/3/"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eoldfield@bellaliant.net" TargetMode="External"/><Relationship Id="rId7" Type="http://schemas.openxmlformats.org/officeDocument/2006/relationships/endnotes" Target="endnotes.xml"/><Relationship Id="rId12" Type="http://schemas.openxmlformats.org/officeDocument/2006/relationships/hyperlink" Target="http://cyhealthcommunications.wordpress.com/2012/09/23/mapping-for-our-health/" TargetMode="External"/><Relationship Id="rId17" Type="http://schemas.openxmlformats.org/officeDocument/2006/relationships/hyperlink" Target="http://www.ij-healthgeographics.com/content/8/1/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j-healthgeographics.com/content/8/1/3/" TargetMode="External"/><Relationship Id="rId20" Type="http://schemas.openxmlformats.org/officeDocument/2006/relationships/hyperlink" Target="http://ow.ly/d/go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2.gotomeeting.com/register/80307446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j-healthgeographics.com/content/8/1/3/" TargetMode="External"/><Relationship Id="rId23" Type="http://schemas.openxmlformats.org/officeDocument/2006/relationships/header" Target="header1.xml"/><Relationship Id="rId10" Type="http://schemas.openxmlformats.org/officeDocument/2006/relationships/hyperlink" Target="http://www.openhealthnews.com/hotnews/reactive-preventative-health-care-%E2%80%93-role-open-map-standards" TargetMode="External"/><Relationship Id="rId19" Type="http://schemas.openxmlformats.org/officeDocument/2006/relationships/hyperlink" Target="http://www.ij-healthgeographics.com/content/8/1/3" TargetMode="External"/><Relationship Id="rId4" Type="http://schemas.openxmlformats.org/officeDocument/2006/relationships/settings" Target="settings.xml"/><Relationship Id="rId9" Type="http://schemas.openxmlformats.org/officeDocument/2006/relationships/hyperlink" Target="http://www.opengeospatial.org/blog/1824" TargetMode="External"/><Relationship Id="rId14" Type="http://schemas.openxmlformats.org/officeDocument/2006/relationships/hyperlink" Target="http://www.ij-healthgeographics.com/content/8/1/3/" TargetMode="External"/><Relationship Id="rId22" Type="http://schemas.openxmlformats.org/officeDocument/2006/relationships/hyperlink" Target="http://ca.linkedin.com/pub/eddie-oldfield/1/bb9/5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dc:creator>
  <cp:lastModifiedBy>Eddie</cp:lastModifiedBy>
  <cp:revision>3</cp:revision>
  <cp:lastPrinted>2012-12-30T05:29:00Z</cp:lastPrinted>
  <dcterms:created xsi:type="dcterms:W3CDTF">2013-09-25T17:46:00Z</dcterms:created>
  <dcterms:modified xsi:type="dcterms:W3CDTF">2013-10-18T23:10:00Z</dcterms:modified>
</cp:coreProperties>
</file>